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C4" w:rsidRDefault="00A01DC4" w:rsidP="00C457F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 xml:space="preserve">                                           </w:t>
      </w:r>
    </w:p>
    <w:p w:rsidR="00AC3157" w:rsidRDefault="00A01DC4" w:rsidP="00C457F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 xml:space="preserve">                                          </w:t>
      </w:r>
      <w:r w:rsidR="007520F4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 xml:space="preserve">      </w:t>
      </w:r>
    </w:p>
    <w:p w:rsidR="00C457F2" w:rsidRPr="00C457F2" w:rsidRDefault="00AC3157" w:rsidP="00C457F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 xml:space="preserve">                                                </w:t>
      </w:r>
      <w:r w:rsidR="00C457F2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DECRETO Nº</w:t>
      </w:r>
      <w:r w:rsidR="007520F4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061</w:t>
      </w:r>
      <w:r w:rsidR="00A01DC4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/2023, DE 06 DE ABRIL DE 2023</w:t>
      </w:r>
    </w:p>
    <w:p w:rsidR="00C457F2" w:rsidRPr="00C457F2" w:rsidRDefault="00C457F2" w:rsidP="00C457F2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A01DC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C457F2">
      <w:pPr>
        <w:spacing w:after="0" w:line="240" w:lineRule="auto"/>
        <w:ind w:left="3119"/>
        <w:jc w:val="both"/>
        <w:rPr>
          <w:rFonts w:ascii="Times New Roman" w:eastAsia="Batang" w:hAnsi="Times New Roman" w:cs="Times New Roman"/>
          <w:b/>
          <w:sz w:val="24"/>
          <w:szCs w:val="24"/>
          <w:lang w:eastAsia="pt-BR"/>
        </w:rPr>
      </w:pPr>
      <w:r w:rsidRPr="00C457F2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DISPÕE SOBRE A PRORROGAÇÃO DO PRAZO DE VALIDADE DO CONCURSO PÚBLICO ABERTO PELO EDITAL</w:t>
      </w:r>
      <w:r w:rsidR="00A01DC4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 xml:space="preserve"> Nº 01/2021</w:t>
      </w:r>
      <w:r w:rsidR="00AC3157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,</w:t>
      </w:r>
      <w:r w:rsidRPr="00C457F2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 xml:space="preserve"> E DÁ OUTRAS PROVIDÊNCIAS.</w:t>
      </w:r>
    </w:p>
    <w:p w:rsidR="00C457F2" w:rsidRPr="00C457F2" w:rsidRDefault="00C457F2" w:rsidP="00C457F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C457F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A01DC4">
      <w:pPr>
        <w:spacing w:after="0" w:line="240" w:lineRule="auto"/>
        <w:ind w:left="3119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O Prefeito Municipal de Belmonte, Estado de Santa Catarina, no uso de suas atribuições legais e na conformidade do disposto no item 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>1.1.5 do Edital nº</w:t>
      </w:r>
      <w:r w:rsidR="00AC3157"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01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>/2021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, combinado com o inciso III, do artigo 37, da Constituição Federal,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bem como com o Decreto nº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</w:t>
      </w:r>
      <w:r w:rsidR="00A01DC4">
        <w:rPr>
          <w:rFonts w:ascii="Times New Roman" w:eastAsia="Batang" w:hAnsi="Times New Roman" w:cs="Times New Roman"/>
          <w:sz w:val="24"/>
          <w:szCs w:val="24"/>
          <w:lang w:eastAsia="pt-BR"/>
        </w:rPr>
        <w:t>108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>/2021</w:t>
      </w:r>
      <w:r w:rsidR="00A01DC4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de 16 de julho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de 20</w:t>
      </w:r>
      <w:r w:rsidR="00A01DC4">
        <w:rPr>
          <w:rFonts w:ascii="Times New Roman" w:eastAsia="Batang" w:hAnsi="Times New Roman" w:cs="Times New Roman"/>
          <w:sz w:val="24"/>
          <w:szCs w:val="24"/>
          <w:lang w:eastAsia="pt-BR"/>
        </w:rPr>
        <w:t>21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, que homologou o resultado final do referido Concurso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>,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com o fi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m de evitar a realização de outro certame, observando com isso o princípio da economicidade;</w:t>
      </w:r>
    </w:p>
    <w:p w:rsidR="00C457F2" w:rsidRPr="00C457F2" w:rsidRDefault="00C457F2" w:rsidP="00A01DC4">
      <w:pPr>
        <w:spacing w:after="0" w:line="240" w:lineRule="auto"/>
        <w:ind w:left="3119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b/>
          <w:sz w:val="24"/>
          <w:szCs w:val="24"/>
          <w:lang w:val="en-US" w:eastAsia="pt-BR"/>
        </w:rPr>
      </w:pPr>
      <w:r w:rsidRPr="00C457F2">
        <w:rPr>
          <w:rFonts w:ascii="Times New Roman" w:eastAsia="Batang" w:hAnsi="Times New Roman" w:cs="Times New Roman"/>
          <w:b/>
          <w:sz w:val="24"/>
          <w:szCs w:val="24"/>
          <w:lang w:val="en-US" w:eastAsia="pt-BR"/>
        </w:rPr>
        <w:t>DECRETA:</w:t>
      </w: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val="en-US" w:eastAsia="pt-BR"/>
        </w:rPr>
      </w:pP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C457F2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Art. 1</w:t>
      </w:r>
      <w:r w:rsidRPr="00C457F2">
        <w:rPr>
          <w:rFonts w:ascii="Times New Roman" w:eastAsia="Batang" w:hAnsi="Times New Roman" w:cs="Times New Roman"/>
          <w:b/>
          <w:sz w:val="24"/>
          <w:szCs w:val="24"/>
          <w:vertAlign w:val="superscript"/>
          <w:lang w:eastAsia="pt-BR"/>
        </w:rPr>
        <w:t>o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. 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>Fica prorrogado o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prazo de validade do Concurso Público 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>aberto pelo Edital Nº 01/2021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,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>por mais dois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ano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>s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contado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>s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da data da homologação do resultado final feita </w:t>
      </w:r>
      <w:r w:rsidR="00AC3157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pelo Decreto nº 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>108/2021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de 16 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de </w:t>
      </w:r>
      <w:r w:rsidR="007520F4">
        <w:rPr>
          <w:rFonts w:ascii="Times New Roman" w:eastAsia="Batang" w:hAnsi="Times New Roman" w:cs="Times New Roman"/>
          <w:sz w:val="24"/>
          <w:szCs w:val="24"/>
          <w:lang w:eastAsia="pt-BR"/>
        </w:rPr>
        <w:t>julho de 2021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.</w:t>
      </w: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C457F2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Art. 2</w:t>
      </w:r>
      <w:r w:rsidRPr="00C457F2">
        <w:rPr>
          <w:rFonts w:ascii="Times New Roman" w:eastAsia="Batang" w:hAnsi="Times New Roman" w:cs="Times New Roman"/>
          <w:b/>
          <w:sz w:val="24"/>
          <w:szCs w:val="24"/>
          <w:vertAlign w:val="superscript"/>
          <w:lang w:eastAsia="pt-BR"/>
        </w:rPr>
        <w:t>o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. Este Decreto entra em vigor na data da sua publicação.</w:t>
      </w: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C457F2">
        <w:rPr>
          <w:rFonts w:ascii="Times New Roman" w:eastAsia="Batang" w:hAnsi="Times New Roman" w:cs="Times New Roman"/>
          <w:b/>
          <w:sz w:val="24"/>
          <w:szCs w:val="24"/>
          <w:lang w:eastAsia="pt-BR"/>
        </w:rPr>
        <w:t>Art. 3</w:t>
      </w:r>
      <w:r w:rsidRPr="00C457F2">
        <w:rPr>
          <w:rFonts w:ascii="Times New Roman" w:eastAsia="Batang" w:hAnsi="Times New Roman" w:cs="Times New Roman"/>
          <w:b/>
          <w:sz w:val="24"/>
          <w:szCs w:val="24"/>
          <w:vertAlign w:val="superscript"/>
          <w:lang w:eastAsia="pt-BR"/>
        </w:rPr>
        <w:t>o</w:t>
      </w:r>
      <w:r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. Ficam revogadas as disposições em contrário.</w:t>
      </w: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A01DC4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>
        <w:rPr>
          <w:rFonts w:ascii="Times New Roman" w:eastAsia="Batang" w:hAnsi="Times New Roman" w:cs="Times New Roman"/>
          <w:sz w:val="24"/>
          <w:szCs w:val="24"/>
          <w:lang w:eastAsia="pt-BR"/>
        </w:rPr>
        <w:t>Belmonte/</w:t>
      </w:r>
      <w:r w:rsidR="00C457F2"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SC, em </w:t>
      </w:r>
      <w:r>
        <w:rPr>
          <w:rFonts w:ascii="Times New Roman" w:eastAsia="Batang" w:hAnsi="Times New Roman" w:cs="Times New Roman"/>
          <w:sz w:val="24"/>
          <w:szCs w:val="24"/>
          <w:lang w:eastAsia="pt-BR"/>
        </w:rPr>
        <w:t>06</w:t>
      </w:r>
      <w:r w:rsidR="00C457F2"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Batang" w:hAnsi="Times New Roman" w:cs="Times New Roman"/>
          <w:sz w:val="24"/>
          <w:szCs w:val="24"/>
          <w:lang w:eastAsia="pt-BR"/>
        </w:rPr>
        <w:t>abril</w:t>
      </w:r>
      <w:r w:rsidR="00C457F2"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d</w:t>
      </w:r>
      <w:r w:rsidR="00E472D0">
        <w:rPr>
          <w:rFonts w:ascii="Times New Roman" w:eastAsia="Batang" w:hAnsi="Times New Roman" w:cs="Times New Roman"/>
          <w:sz w:val="24"/>
          <w:szCs w:val="24"/>
          <w:lang w:eastAsia="pt-BR"/>
        </w:rPr>
        <w:t>e 202</w:t>
      </w:r>
      <w:r>
        <w:rPr>
          <w:rFonts w:ascii="Times New Roman" w:eastAsia="Batang" w:hAnsi="Times New Roman" w:cs="Times New Roman"/>
          <w:sz w:val="24"/>
          <w:szCs w:val="24"/>
          <w:lang w:eastAsia="pt-BR"/>
        </w:rPr>
        <w:t>3</w:t>
      </w:r>
      <w:r w:rsidR="00C457F2" w:rsidRPr="00C457F2">
        <w:rPr>
          <w:rFonts w:ascii="Times New Roman" w:eastAsia="Batang" w:hAnsi="Times New Roman" w:cs="Times New Roman"/>
          <w:sz w:val="24"/>
          <w:szCs w:val="24"/>
          <w:lang w:eastAsia="pt-BR"/>
        </w:rPr>
        <w:t>.</w:t>
      </w:r>
    </w:p>
    <w:p w:rsidR="00C457F2" w:rsidRPr="00C457F2" w:rsidRDefault="00C457F2" w:rsidP="00A01DC4">
      <w:pPr>
        <w:spacing w:after="0" w:line="24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A01DC4">
      <w:pPr>
        <w:spacing w:after="0" w:line="240" w:lineRule="auto"/>
        <w:ind w:left="18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57F2" w:rsidRPr="00C457F2" w:rsidRDefault="00C457F2" w:rsidP="00C457F2">
      <w:pPr>
        <w:spacing w:after="0" w:line="240" w:lineRule="auto"/>
        <w:ind w:left="180" w:firstLine="19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C457F2" w:rsidRPr="00C457F2" w:rsidRDefault="007520F4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31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Jair Antônio Giumbelli</w:t>
      </w:r>
    </w:p>
    <w:p w:rsidR="00C457F2" w:rsidRPr="00C457F2" w:rsidRDefault="00C457F2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57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</w:t>
      </w:r>
    </w:p>
    <w:p w:rsidR="00C457F2" w:rsidRPr="00C457F2" w:rsidRDefault="00C457F2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57F2" w:rsidRPr="00C457F2" w:rsidRDefault="00C457F2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57F2" w:rsidRPr="00C457F2" w:rsidRDefault="00C457F2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57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C457F2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 DATA SUPRA.</w:t>
        </w:r>
      </w:smartTag>
    </w:p>
    <w:p w:rsidR="00C457F2" w:rsidRPr="00C457F2" w:rsidRDefault="00C457F2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57F2" w:rsidRPr="00C457F2" w:rsidRDefault="00C457F2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57F2" w:rsidRPr="00C457F2" w:rsidRDefault="007520F4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31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Rosangela S. Pelissari</w:t>
      </w:r>
    </w:p>
    <w:p w:rsidR="007C1CC5" w:rsidRPr="00AC3157" w:rsidRDefault="00C457F2" w:rsidP="00AC315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57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Secretária da Administração</w:t>
      </w:r>
    </w:p>
    <w:sectPr w:rsidR="007C1CC5" w:rsidRPr="00AC31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F2"/>
    <w:rsid w:val="007520F4"/>
    <w:rsid w:val="007C1CC5"/>
    <w:rsid w:val="00A01DC4"/>
    <w:rsid w:val="00AC3157"/>
    <w:rsid w:val="00C457F2"/>
    <w:rsid w:val="00E4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430428"/>
  <w15:chartTrackingRefBased/>
  <w15:docId w15:val="{E39457D5-7172-4775-8860-201E5F3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2023-04-06T16:24:00Z</cp:lastPrinted>
  <dcterms:created xsi:type="dcterms:W3CDTF">2023-04-06T13:07:00Z</dcterms:created>
  <dcterms:modified xsi:type="dcterms:W3CDTF">2023-04-06T16:43:00Z</dcterms:modified>
</cp:coreProperties>
</file>