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8F" w:rsidRPr="00CB2902" w:rsidRDefault="00DA6E77" w:rsidP="00FD4D37">
      <w:pPr>
        <w:spacing w:line="360" w:lineRule="auto"/>
        <w:ind w:firstLine="1134"/>
        <w:jc w:val="center"/>
        <w:rPr>
          <w:rFonts w:asciiTheme="majorHAnsi" w:hAnsiTheme="majorHAnsi"/>
          <w:b/>
          <w:sz w:val="24"/>
          <w:szCs w:val="24"/>
        </w:rPr>
      </w:pPr>
      <w:r w:rsidRPr="00CB2902">
        <w:rPr>
          <w:rFonts w:asciiTheme="majorHAnsi" w:hAnsiTheme="majorHAnsi"/>
          <w:b/>
          <w:sz w:val="24"/>
          <w:szCs w:val="24"/>
        </w:rPr>
        <w:t>PARECER JURÍDICO</w:t>
      </w:r>
      <w:r w:rsidR="00421DCE" w:rsidRPr="00CB2902">
        <w:rPr>
          <w:rFonts w:asciiTheme="majorHAnsi" w:hAnsiTheme="majorHAnsi"/>
          <w:b/>
          <w:sz w:val="24"/>
          <w:szCs w:val="24"/>
        </w:rPr>
        <w:t xml:space="preserve"> Nº</w:t>
      </w:r>
      <w:r w:rsidR="005E77FE" w:rsidRPr="00CB2902">
        <w:rPr>
          <w:rFonts w:asciiTheme="majorHAnsi" w:hAnsiTheme="majorHAnsi"/>
          <w:b/>
          <w:sz w:val="24"/>
          <w:szCs w:val="24"/>
        </w:rPr>
        <w:t xml:space="preserve"> </w:t>
      </w:r>
      <w:r w:rsidR="00106B71">
        <w:rPr>
          <w:rFonts w:asciiTheme="majorHAnsi" w:hAnsiTheme="majorHAnsi"/>
          <w:b/>
          <w:sz w:val="24"/>
          <w:szCs w:val="24"/>
        </w:rPr>
        <w:t>43</w:t>
      </w:r>
      <w:r w:rsidR="005E77FE" w:rsidRPr="00CB2902">
        <w:rPr>
          <w:rFonts w:asciiTheme="majorHAnsi" w:hAnsiTheme="majorHAnsi"/>
          <w:b/>
          <w:sz w:val="24"/>
          <w:szCs w:val="24"/>
        </w:rPr>
        <w:t>/</w:t>
      </w:r>
      <w:r w:rsidR="00210455" w:rsidRPr="00CB2902">
        <w:rPr>
          <w:rFonts w:asciiTheme="majorHAnsi" w:hAnsiTheme="majorHAnsi"/>
          <w:b/>
          <w:sz w:val="24"/>
          <w:szCs w:val="24"/>
        </w:rPr>
        <w:t>2022</w:t>
      </w:r>
    </w:p>
    <w:p w:rsidR="00DD3CC2" w:rsidRPr="00CB2902" w:rsidRDefault="00DD3CC2" w:rsidP="00FD4D37">
      <w:pPr>
        <w:spacing w:after="0" w:line="360" w:lineRule="auto"/>
        <w:jc w:val="both"/>
        <w:rPr>
          <w:rFonts w:asciiTheme="majorHAnsi" w:hAnsiTheme="majorHAnsi"/>
          <w:b/>
          <w:sz w:val="24"/>
          <w:szCs w:val="24"/>
        </w:rPr>
      </w:pPr>
    </w:p>
    <w:p w:rsidR="002066D5" w:rsidRPr="00CB2902" w:rsidRDefault="00DA6E77" w:rsidP="00FD4D37">
      <w:pPr>
        <w:spacing w:after="0" w:line="360" w:lineRule="auto"/>
        <w:jc w:val="both"/>
        <w:rPr>
          <w:rFonts w:asciiTheme="majorHAnsi" w:hAnsiTheme="majorHAnsi"/>
          <w:b/>
          <w:sz w:val="24"/>
          <w:szCs w:val="24"/>
        </w:rPr>
      </w:pPr>
      <w:r w:rsidRPr="00CB2902">
        <w:rPr>
          <w:rFonts w:asciiTheme="majorHAnsi" w:hAnsiTheme="majorHAnsi"/>
          <w:b/>
          <w:sz w:val="24"/>
          <w:szCs w:val="24"/>
        </w:rPr>
        <w:t xml:space="preserve">ASSUNTO: </w:t>
      </w:r>
      <w:r w:rsidR="00CB1767">
        <w:rPr>
          <w:rFonts w:asciiTheme="majorHAnsi" w:hAnsiTheme="majorHAnsi"/>
          <w:b/>
          <w:sz w:val="24"/>
          <w:szCs w:val="24"/>
        </w:rPr>
        <w:t>tomada  de Preço</w:t>
      </w:r>
      <w:r w:rsidR="00210455" w:rsidRPr="00CB2902">
        <w:rPr>
          <w:rFonts w:asciiTheme="majorHAnsi" w:hAnsiTheme="majorHAnsi"/>
          <w:b/>
          <w:sz w:val="24"/>
          <w:szCs w:val="24"/>
        </w:rPr>
        <w:t xml:space="preserve"> Nº </w:t>
      </w:r>
      <w:r w:rsidR="00CB1767">
        <w:rPr>
          <w:rFonts w:asciiTheme="majorHAnsi" w:hAnsiTheme="majorHAnsi"/>
          <w:b/>
          <w:sz w:val="24"/>
          <w:szCs w:val="24"/>
        </w:rPr>
        <w:t>18</w:t>
      </w:r>
      <w:r w:rsidR="00210455" w:rsidRPr="00CB2902">
        <w:rPr>
          <w:rFonts w:asciiTheme="majorHAnsi" w:hAnsiTheme="majorHAnsi"/>
          <w:b/>
          <w:sz w:val="24"/>
          <w:szCs w:val="24"/>
        </w:rPr>
        <w:t>/2022</w:t>
      </w:r>
    </w:p>
    <w:p w:rsidR="002066D5" w:rsidRDefault="002066D5" w:rsidP="00FD4D37">
      <w:pPr>
        <w:spacing w:after="0" w:line="360" w:lineRule="auto"/>
        <w:jc w:val="both"/>
        <w:rPr>
          <w:rFonts w:asciiTheme="majorHAnsi" w:hAnsiTheme="majorHAnsi"/>
          <w:sz w:val="24"/>
          <w:szCs w:val="24"/>
        </w:rPr>
      </w:pPr>
      <w:r w:rsidRPr="00CB2902">
        <w:rPr>
          <w:rFonts w:asciiTheme="majorHAnsi" w:hAnsiTheme="majorHAnsi"/>
          <w:b/>
          <w:sz w:val="24"/>
          <w:szCs w:val="24"/>
        </w:rPr>
        <w:t xml:space="preserve">OBJETO: </w:t>
      </w:r>
      <w:r w:rsidR="00D62058" w:rsidRPr="00CB2902">
        <w:rPr>
          <w:rFonts w:asciiTheme="majorHAnsi" w:hAnsiTheme="majorHAnsi"/>
          <w:sz w:val="24"/>
          <w:szCs w:val="24"/>
        </w:rPr>
        <w:t>CONTRATAÇÃO DE EMP</w:t>
      </w:r>
      <w:bookmarkStart w:id="0" w:name="_GoBack"/>
      <w:r w:rsidR="00D62058" w:rsidRPr="00CB2902">
        <w:rPr>
          <w:rFonts w:asciiTheme="majorHAnsi" w:hAnsiTheme="majorHAnsi"/>
          <w:sz w:val="24"/>
          <w:szCs w:val="24"/>
        </w:rPr>
        <w:t xml:space="preserve">RESA ESPECIALIZADA DEVIDAMENTE CADASTRADA NA CELESC, PARA INSTALAÇÃO DE </w:t>
      </w:r>
      <w:bookmarkEnd w:id="0"/>
      <w:r w:rsidR="00D62058" w:rsidRPr="00CB2902">
        <w:rPr>
          <w:rFonts w:asciiTheme="majorHAnsi" w:hAnsiTheme="majorHAnsi"/>
          <w:sz w:val="24"/>
          <w:szCs w:val="24"/>
        </w:rPr>
        <w:t>ILUMINAÇÃO NO CAMPO DE FUTEBOL DE LINHA TIMBAÚVA INTERIOR DO MUNICÍPIO DE BELMONTE-SC, COM FORNECIMENTO DE MATERIAL E MÃO DE OBRA, COM TRANSFERÊNCIA ESPECIAL CONF. PORTARIA Nº. 151/2022/SEF, PROCESSO SGP E SCC 00001161/2022 FESPORTE E PORTARIA SEF Nº 321/2021 E RECURSOS PRÓPRIOS, E CFE. PROJETO ELÉTRICO, MEMORIAL DESCRITIVO, CRONOGRAMA FÍSICO FINANCEIRO E ESPECIFICAÇÕES CONTIDAS NO EDITAL E EM SEUS ANEXOS.</w:t>
      </w:r>
    </w:p>
    <w:p w:rsidR="003B00D2" w:rsidRPr="00CB2902" w:rsidRDefault="003B00D2" w:rsidP="00FD4D37">
      <w:pPr>
        <w:spacing w:after="0" w:line="360" w:lineRule="auto"/>
        <w:jc w:val="both"/>
        <w:rPr>
          <w:rFonts w:asciiTheme="majorHAnsi" w:hAnsiTheme="majorHAnsi"/>
          <w:sz w:val="24"/>
          <w:szCs w:val="24"/>
        </w:rPr>
      </w:pPr>
    </w:p>
    <w:p w:rsidR="00D62058" w:rsidRPr="00CB2902" w:rsidRDefault="002066D5" w:rsidP="00D62058">
      <w:pPr>
        <w:pStyle w:val="Default"/>
        <w:rPr>
          <w:rFonts w:asciiTheme="majorHAnsi" w:hAnsiTheme="majorHAnsi"/>
        </w:rPr>
      </w:pPr>
      <w:r w:rsidRPr="00CB2902">
        <w:rPr>
          <w:rFonts w:asciiTheme="majorHAnsi" w:hAnsiTheme="majorHAnsi"/>
          <w:b/>
        </w:rPr>
        <w:t xml:space="preserve">EMENTA: </w:t>
      </w:r>
      <w:r w:rsidRPr="00CB2902">
        <w:rPr>
          <w:rFonts w:asciiTheme="majorHAnsi" w:hAnsiTheme="majorHAnsi"/>
        </w:rPr>
        <w:t>ANÁLISE JURÍDICA DA IMPUGNAÇÃO INTERPOSTA P</w:t>
      </w:r>
      <w:r w:rsidR="00210455" w:rsidRPr="00CB2902">
        <w:rPr>
          <w:rFonts w:asciiTheme="majorHAnsi" w:hAnsiTheme="majorHAnsi"/>
        </w:rPr>
        <w:t xml:space="preserve">OR </w:t>
      </w:r>
      <w:r w:rsidR="00D62058" w:rsidRPr="00CB2902">
        <w:rPr>
          <w:rFonts w:asciiTheme="majorHAnsi" w:hAnsiTheme="majorHAnsi"/>
          <w:b/>
        </w:rPr>
        <w:t>WORKLIGHT SOLUÇÕES EM ENGENHARIA ELÉTRICA E AUTOMAÇÃO LTDA.</w:t>
      </w:r>
      <w:r w:rsidR="00210455" w:rsidRPr="00CB2902">
        <w:rPr>
          <w:rFonts w:asciiTheme="majorHAnsi" w:hAnsiTheme="majorHAnsi"/>
        </w:rPr>
        <w:t xml:space="preserve">, CNPJ </w:t>
      </w:r>
      <w:r w:rsidR="00D62058" w:rsidRPr="00CB2902">
        <w:rPr>
          <w:rFonts w:asciiTheme="majorHAnsi" w:hAnsiTheme="majorHAnsi"/>
        </w:rPr>
        <w:t>38.230.831/0001-22</w:t>
      </w:r>
      <w:r w:rsidRPr="00CB2902">
        <w:rPr>
          <w:rFonts w:asciiTheme="majorHAnsi" w:hAnsiTheme="majorHAnsi"/>
        </w:rPr>
        <w:t xml:space="preserve">, SEDIADA </w:t>
      </w:r>
      <w:r w:rsidR="00210455" w:rsidRPr="00CB2902">
        <w:rPr>
          <w:rFonts w:asciiTheme="majorHAnsi" w:hAnsiTheme="majorHAnsi"/>
        </w:rPr>
        <w:t xml:space="preserve">EM </w:t>
      </w:r>
    </w:p>
    <w:p w:rsidR="00D62058" w:rsidRPr="00CB2902" w:rsidRDefault="00D62058" w:rsidP="00D62058">
      <w:pPr>
        <w:spacing w:after="0" w:line="360" w:lineRule="auto"/>
        <w:jc w:val="both"/>
        <w:rPr>
          <w:rFonts w:asciiTheme="majorHAnsi" w:hAnsiTheme="majorHAnsi"/>
          <w:sz w:val="24"/>
          <w:szCs w:val="24"/>
        </w:rPr>
      </w:pPr>
      <w:r w:rsidRPr="00CB2902">
        <w:rPr>
          <w:rFonts w:asciiTheme="majorHAnsi" w:hAnsiTheme="majorHAnsi"/>
          <w:sz w:val="24"/>
          <w:szCs w:val="24"/>
        </w:rPr>
        <w:t xml:space="preserve"> com sede na Rua Tiradentes, 877, sala 01, Vila Pedrini, Joaçaba/SC </w:t>
      </w:r>
    </w:p>
    <w:p w:rsidR="002066D5" w:rsidRPr="00CB2902" w:rsidRDefault="002066D5" w:rsidP="00D62058">
      <w:pPr>
        <w:spacing w:after="0" w:line="360" w:lineRule="auto"/>
        <w:jc w:val="both"/>
        <w:rPr>
          <w:rFonts w:asciiTheme="majorHAnsi" w:hAnsiTheme="majorHAnsi"/>
          <w:sz w:val="24"/>
          <w:szCs w:val="24"/>
        </w:rPr>
      </w:pPr>
      <w:r w:rsidRPr="00CB2902">
        <w:rPr>
          <w:rFonts w:asciiTheme="majorHAnsi" w:hAnsiTheme="majorHAnsi"/>
          <w:b/>
          <w:sz w:val="24"/>
          <w:szCs w:val="24"/>
        </w:rPr>
        <w:t>INTERESSADO:</w:t>
      </w:r>
      <w:r w:rsidRPr="00CB2902">
        <w:rPr>
          <w:rFonts w:asciiTheme="majorHAnsi" w:hAnsiTheme="majorHAnsi"/>
          <w:sz w:val="24"/>
          <w:szCs w:val="24"/>
        </w:rPr>
        <w:t xml:space="preserve"> COMISSÃO DE LICITAÇÃO</w:t>
      </w:r>
    </w:p>
    <w:p w:rsidR="00B6161D" w:rsidRPr="00CB2902" w:rsidRDefault="00B6161D" w:rsidP="00FD4D37">
      <w:pPr>
        <w:spacing w:line="360" w:lineRule="auto"/>
        <w:jc w:val="both"/>
        <w:rPr>
          <w:rFonts w:asciiTheme="majorHAnsi" w:hAnsiTheme="majorHAnsi"/>
          <w:b/>
          <w:sz w:val="24"/>
          <w:szCs w:val="24"/>
        </w:rPr>
      </w:pPr>
    </w:p>
    <w:p w:rsidR="00073540" w:rsidRPr="00CB2902" w:rsidRDefault="002066D5" w:rsidP="00D62058">
      <w:pPr>
        <w:spacing w:after="0" w:line="360" w:lineRule="auto"/>
        <w:jc w:val="both"/>
        <w:rPr>
          <w:rFonts w:asciiTheme="majorHAnsi" w:hAnsiTheme="majorHAnsi"/>
          <w:sz w:val="24"/>
          <w:szCs w:val="24"/>
        </w:rPr>
      </w:pPr>
      <w:r w:rsidRPr="00CB2902">
        <w:rPr>
          <w:rFonts w:asciiTheme="majorHAnsi" w:hAnsiTheme="majorHAnsi"/>
          <w:sz w:val="24"/>
          <w:szCs w:val="24"/>
        </w:rPr>
        <w:t>Trata-se de consulta jurídica formulada pela Comissão de Licitações deste Município quanto aos apontamentos apresentad</w:t>
      </w:r>
      <w:r w:rsidR="00210455" w:rsidRPr="00CB2902">
        <w:rPr>
          <w:rFonts w:asciiTheme="majorHAnsi" w:hAnsiTheme="majorHAnsi"/>
          <w:sz w:val="24"/>
          <w:szCs w:val="24"/>
        </w:rPr>
        <w:t>os na Impugnação interposta por</w:t>
      </w:r>
      <w:r w:rsidRPr="00CB2902">
        <w:rPr>
          <w:rFonts w:asciiTheme="majorHAnsi" w:hAnsiTheme="majorHAnsi"/>
          <w:sz w:val="24"/>
          <w:szCs w:val="24"/>
        </w:rPr>
        <w:t xml:space="preserve"> </w:t>
      </w:r>
      <w:r w:rsidR="00D62058" w:rsidRPr="00CB2902">
        <w:rPr>
          <w:rFonts w:asciiTheme="majorHAnsi" w:hAnsiTheme="majorHAnsi"/>
          <w:b/>
          <w:sz w:val="24"/>
          <w:szCs w:val="24"/>
        </w:rPr>
        <w:t>WORKLIGHT SOLUÇÕES EM ENGENHARIA ELÉTRICA E AUTOMAÇÃO LTDA</w:t>
      </w:r>
      <w:r w:rsidR="00210455" w:rsidRPr="00CB2902">
        <w:rPr>
          <w:rFonts w:asciiTheme="majorHAnsi" w:hAnsiTheme="majorHAnsi"/>
          <w:sz w:val="24"/>
          <w:szCs w:val="24"/>
        </w:rPr>
        <w:t xml:space="preserve">, ao </w:t>
      </w:r>
      <w:r w:rsidR="00D62058" w:rsidRPr="00CB2902">
        <w:rPr>
          <w:rFonts w:asciiTheme="majorHAnsi" w:hAnsiTheme="majorHAnsi"/>
          <w:sz w:val="24"/>
          <w:szCs w:val="24"/>
        </w:rPr>
        <w:t>tomada de preços nº 18</w:t>
      </w:r>
      <w:r w:rsidR="00210455" w:rsidRPr="00CB2902">
        <w:rPr>
          <w:rFonts w:asciiTheme="majorHAnsi" w:hAnsiTheme="majorHAnsi"/>
          <w:sz w:val="24"/>
          <w:szCs w:val="24"/>
        </w:rPr>
        <w:t>/2022</w:t>
      </w:r>
      <w:r w:rsidR="00073540" w:rsidRPr="00CB2902">
        <w:rPr>
          <w:rFonts w:asciiTheme="majorHAnsi" w:hAnsiTheme="majorHAnsi"/>
          <w:sz w:val="24"/>
          <w:szCs w:val="24"/>
        </w:rPr>
        <w:t xml:space="preserve">, procedimento que </w:t>
      </w:r>
      <w:r w:rsidR="00D62058" w:rsidRPr="00CB2902">
        <w:rPr>
          <w:rFonts w:asciiTheme="majorHAnsi" w:hAnsiTheme="majorHAnsi"/>
          <w:sz w:val="24"/>
          <w:szCs w:val="24"/>
        </w:rPr>
        <w:t>CONTRATAÇÃO DE EMPRESA ESPECIALIZADA DEVIDAMENTE CADASTRADA NA CELESC, PARA INSTALAÇÃO DE ILUMINAÇÃO NO CAMPO DE FUTEBOL DE LINHA TIMBAÚVA INTERIOR DO MUNICÍPIO DE BELMONTE-SC, COM FORNECIMENTO DE MATERIAL E MÃO DE OBRA.</w:t>
      </w:r>
    </w:p>
    <w:p w:rsidR="00073540" w:rsidRPr="00CB2902" w:rsidRDefault="00073540" w:rsidP="00073540">
      <w:pPr>
        <w:spacing w:after="0" w:line="360" w:lineRule="auto"/>
        <w:jc w:val="both"/>
        <w:rPr>
          <w:rFonts w:asciiTheme="majorHAnsi" w:hAnsiTheme="majorHAnsi"/>
          <w:b/>
          <w:sz w:val="24"/>
          <w:szCs w:val="24"/>
        </w:rPr>
      </w:pPr>
      <w:r w:rsidRPr="00CB2902">
        <w:rPr>
          <w:rFonts w:asciiTheme="majorHAnsi" w:hAnsiTheme="majorHAnsi"/>
          <w:b/>
          <w:sz w:val="24"/>
          <w:szCs w:val="24"/>
        </w:rPr>
        <w:t>DA TEMPESTIVIDADE DA IMPUGNAÇÃO</w:t>
      </w:r>
    </w:p>
    <w:p w:rsidR="00073540" w:rsidRPr="00CB2902" w:rsidRDefault="00073540" w:rsidP="00073540">
      <w:pPr>
        <w:spacing w:after="0" w:line="240" w:lineRule="auto"/>
        <w:jc w:val="both"/>
        <w:rPr>
          <w:rFonts w:asciiTheme="majorHAnsi" w:hAnsiTheme="majorHAnsi"/>
          <w:sz w:val="24"/>
          <w:szCs w:val="24"/>
        </w:rPr>
      </w:pPr>
    </w:p>
    <w:p w:rsidR="00A154FA" w:rsidRPr="00CB2902" w:rsidRDefault="00B9150B" w:rsidP="00D24772">
      <w:pPr>
        <w:spacing w:after="0" w:line="360" w:lineRule="auto"/>
        <w:ind w:firstLine="1134"/>
        <w:jc w:val="both"/>
        <w:rPr>
          <w:rFonts w:asciiTheme="majorHAnsi" w:hAnsiTheme="majorHAnsi"/>
          <w:sz w:val="24"/>
          <w:szCs w:val="24"/>
        </w:rPr>
      </w:pPr>
      <w:r w:rsidRPr="00CB2902">
        <w:rPr>
          <w:rFonts w:asciiTheme="majorHAnsi" w:hAnsiTheme="majorHAnsi"/>
          <w:sz w:val="24"/>
          <w:szCs w:val="24"/>
        </w:rPr>
        <w:t>A imp</w:t>
      </w:r>
      <w:r w:rsidR="00210455" w:rsidRPr="00CB2902">
        <w:rPr>
          <w:rFonts w:asciiTheme="majorHAnsi" w:hAnsiTheme="majorHAnsi"/>
          <w:sz w:val="24"/>
          <w:szCs w:val="24"/>
        </w:rPr>
        <w:t xml:space="preserve">ugnação foi interposta no dia </w:t>
      </w:r>
      <w:r w:rsidR="00D62058" w:rsidRPr="00CB2902">
        <w:rPr>
          <w:rFonts w:asciiTheme="majorHAnsi" w:hAnsiTheme="majorHAnsi"/>
          <w:sz w:val="24"/>
          <w:szCs w:val="24"/>
        </w:rPr>
        <w:t xml:space="preserve">14 </w:t>
      </w:r>
      <w:r w:rsidR="00210455" w:rsidRPr="00CB2902">
        <w:rPr>
          <w:rFonts w:asciiTheme="majorHAnsi" w:hAnsiTheme="majorHAnsi"/>
          <w:sz w:val="24"/>
          <w:szCs w:val="24"/>
        </w:rPr>
        <w:t xml:space="preserve">de </w:t>
      </w:r>
      <w:r w:rsidR="00D62058" w:rsidRPr="00CB2902">
        <w:rPr>
          <w:rFonts w:asciiTheme="majorHAnsi" w:hAnsiTheme="majorHAnsi"/>
          <w:sz w:val="24"/>
          <w:szCs w:val="24"/>
        </w:rPr>
        <w:t>dezembro</w:t>
      </w:r>
      <w:r w:rsidRPr="00CB2902">
        <w:rPr>
          <w:rFonts w:asciiTheme="majorHAnsi" w:hAnsiTheme="majorHAnsi"/>
          <w:sz w:val="24"/>
          <w:szCs w:val="24"/>
        </w:rPr>
        <w:t xml:space="preserve"> de 2022, dentro do prazo mencionado no item </w:t>
      </w:r>
      <w:r w:rsidR="00D62058" w:rsidRPr="00CB2902">
        <w:rPr>
          <w:rFonts w:asciiTheme="majorHAnsi" w:hAnsiTheme="majorHAnsi"/>
          <w:sz w:val="24"/>
          <w:szCs w:val="24"/>
        </w:rPr>
        <w:t>18</w:t>
      </w:r>
      <w:r w:rsidRPr="00CB2902">
        <w:rPr>
          <w:rFonts w:asciiTheme="majorHAnsi" w:hAnsiTheme="majorHAnsi"/>
          <w:sz w:val="24"/>
          <w:szCs w:val="24"/>
        </w:rPr>
        <w:t xml:space="preserve"> do Edital, portanto, até o segundo dia útil que antecede a abertura dos envelopes das propostas </w:t>
      </w:r>
      <w:r w:rsidR="00A154FA" w:rsidRPr="00CB2902">
        <w:rPr>
          <w:rFonts w:asciiTheme="majorHAnsi" w:hAnsiTheme="majorHAnsi"/>
          <w:sz w:val="24"/>
          <w:szCs w:val="24"/>
        </w:rPr>
        <w:t>que ocorrerá, consoante di</w:t>
      </w:r>
      <w:r w:rsidR="00747734">
        <w:rPr>
          <w:rFonts w:asciiTheme="majorHAnsi" w:hAnsiTheme="majorHAnsi"/>
          <w:sz w:val="24"/>
          <w:szCs w:val="24"/>
        </w:rPr>
        <w:t xml:space="preserve">sposição no preâmbulo do Edital, </w:t>
      </w:r>
      <w:r w:rsidR="00210455" w:rsidRPr="00CB2902">
        <w:rPr>
          <w:rFonts w:asciiTheme="majorHAnsi" w:hAnsiTheme="majorHAnsi"/>
          <w:sz w:val="24"/>
          <w:szCs w:val="24"/>
        </w:rPr>
        <w:t xml:space="preserve">no </w:t>
      </w:r>
      <w:r w:rsidR="00D62058" w:rsidRPr="00CB2902">
        <w:rPr>
          <w:rFonts w:asciiTheme="majorHAnsi" w:hAnsiTheme="majorHAnsi"/>
          <w:sz w:val="24"/>
          <w:szCs w:val="24"/>
        </w:rPr>
        <w:t>19</w:t>
      </w:r>
      <w:r w:rsidRPr="00CB2902">
        <w:rPr>
          <w:rFonts w:asciiTheme="majorHAnsi" w:hAnsiTheme="majorHAnsi"/>
          <w:sz w:val="24"/>
          <w:szCs w:val="24"/>
        </w:rPr>
        <w:t xml:space="preserve"> de </w:t>
      </w:r>
      <w:r w:rsidR="00D62058" w:rsidRPr="00CB2902">
        <w:rPr>
          <w:rFonts w:asciiTheme="majorHAnsi" w:hAnsiTheme="majorHAnsi"/>
          <w:sz w:val="24"/>
          <w:szCs w:val="24"/>
        </w:rPr>
        <w:t>dezembro</w:t>
      </w:r>
      <w:r w:rsidRPr="00CB2902">
        <w:rPr>
          <w:rFonts w:asciiTheme="majorHAnsi" w:hAnsiTheme="majorHAnsi"/>
          <w:sz w:val="24"/>
          <w:szCs w:val="24"/>
        </w:rPr>
        <w:t xml:space="preserve"> de 2022.</w:t>
      </w:r>
      <w:r w:rsidR="00547517" w:rsidRPr="00CB2902">
        <w:rPr>
          <w:rFonts w:asciiTheme="majorHAnsi" w:hAnsiTheme="majorHAnsi"/>
          <w:sz w:val="24"/>
          <w:szCs w:val="24"/>
        </w:rPr>
        <w:t xml:space="preserve"> Portanto, </w:t>
      </w:r>
      <w:r w:rsidR="00A154FA" w:rsidRPr="00CB2902">
        <w:rPr>
          <w:rFonts w:asciiTheme="majorHAnsi" w:hAnsiTheme="majorHAnsi"/>
          <w:sz w:val="24"/>
          <w:szCs w:val="24"/>
        </w:rPr>
        <w:t>a Impugnação é tempestiva.</w:t>
      </w:r>
    </w:p>
    <w:p w:rsidR="00A154FA" w:rsidRPr="00CB2902" w:rsidRDefault="00A154FA" w:rsidP="00A154FA">
      <w:pPr>
        <w:spacing w:after="0" w:line="360" w:lineRule="auto"/>
        <w:jc w:val="both"/>
        <w:rPr>
          <w:rFonts w:asciiTheme="majorHAnsi" w:hAnsiTheme="majorHAnsi"/>
          <w:b/>
          <w:sz w:val="24"/>
          <w:szCs w:val="24"/>
        </w:rPr>
      </w:pPr>
      <w:r w:rsidRPr="00CB2902">
        <w:rPr>
          <w:rFonts w:asciiTheme="majorHAnsi" w:hAnsiTheme="majorHAnsi"/>
          <w:b/>
          <w:sz w:val="24"/>
          <w:szCs w:val="24"/>
        </w:rPr>
        <w:lastRenderedPageBreak/>
        <w:t>DO MÉRITO</w:t>
      </w:r>
    </w:p>
    <w:p w:rsidR="006239EF" w:rsidRPr="00CB2902" w:rsidRDefault="00A154FA" w:rsidP="00D24772">
      <w:pPr>
        <w:spacing w:after="0" w:line="360" w:lineRule="auto"/>
        <w:ind w:firstLine="1134"/>
        <w:jc w:val="both"/>
        <w:rPr>
          <w:rFonts w:asciiTheme="majorHAnsi" w:hAnsiTheme="majorHAnsi"/>
          <w:sz w:val="24"/>
          <w:szCs w:val="24"/>
        </w:rPr>
      </w:pPr>
      <w:r w:rsidRPr="00CB2902">
        <w:rPr>
          <w:rFonts w:asciiTheme="majorHAnsi" w:hAnsiTheme="majorHAnsi"/>
          <w:sz w:val="24"/>
          <w:szCs w:val="24"/>
        </w:rPr>
        <w:t xml:space="preserve">A irresignação da Empresa impugnante </w:t>
      </w:r>
      <w:r w:rsidR="00D13CA7" w:rsidRPr="00CB2902">
        <w:rPr>
          <w:rFonts w:asciiTheme="majorHAnsi" w:hAnsiTheme="majorHAnsi"/>
          <w:sz w:val="24"/>
          <w:szCs w:val="24"/>
        </w:rPr>
        <w:t>refe</w:t>
      </w:r>
      <w:r w:rsidR="00747734">
        <w:rPr>
          <w:rFonts w:asciiTheme="majorHAnsi" w:hAnsiTheme="majorHAnsi"/>
          <w:sz w:val="24"/>
          <w:szCs w:val="24"/>
        </w:rPr>
        <w:t>re-se à</w:t>
      </w:r>
      <w:r w:rsidR="00210455" w:rsidRPr="00CB2902">
        <w:rPr>
          <w:rFonts w:asciiTheme="majorHAnsi" w:hAnsiTheme="majorHAnsi"/>
          <w:sz w:val="24"/>
          <w:szCs w:val="24"/>
        </w:rPr>
        <w:t>s exigências contidas no item</w:t>
      </w:r>
      <w:r w:rsidR="00D13CA7" w:rsidRPr="00CB2902">
        <w:rPr>
          <w:rFonts w:asciiTheme="majorHAnsi" w:hAnsiTheme="majorHAnsi"/>
          <w:sz w:val="24"/>
          <w:szCs w:val="24"/>
        </w:rPr>
        <w:t xml:space="preserve"> </w:t>
      </w:r>
      <w:r w:rsidR="00D62058" w:rsidRPr="00CB2902">
        <w:rPr>
          <w:rFonts w:asciiTheme="majorHAnsi" w:hAnsiTheme="majorHAnsi"/>
          <w:sz w:val="24"/>
          <w:szCs w:val="24"/>
        </w:rPr>
        <w:t>6.4.</w:t>
      </w:r>
      <w:r w:rsidR="00210455" w:rsidRPr="00CB2902">
        <w:rPr>
          <w:rFonts w:asciiTheme="majorHAnsi" w:hAnsiTheme="majorHAnsi"/>
          <w:sz w:val="24"/>
          <w:szCs w:val="24"/>
        </w:rPr>
        <w:t xml:space="preserve"> do referido Edital, que assim dispõe:</w:t>
      </w:r>
    </w:p>
    <w:p w:rsidR="006239EF" w:rsidRPr="00CB2902" w:rsidRDefault="0091165C" w:rsidP="00D460EC">
      <w:pPr>
        <w:spacing w:after="0" w:line="360" w:lineRule="auto"/>
        <w:ind w:firstLine="1134"/>
        <w:jc w:val="both"/>
        <w:rPr>
          <w:rFonts w:asciiTheme="majorHAnsi" w:hAnsiTheme="majorHAnsi"/>
          <w:b/>
          <w:i/>
          <w:sz w:val="24"/>
          <w:szCs w:val="24"/>
        </w:rPr>
      </w:pPr>
      <w:r w:rsidRPr="00CB2902">
        <w:rPr>
          <w:rFonts w:asciiTheme="majorHAnsi" w:hAnsiTheme="majorHAnsi"/>
          <w:b/>
          <w:i/>
          <w:sz w:val="24"/>
          <w:szCs w:val="24"/>
        </w:rPr>
        <w:t xml:space="preserve">Item </w:t>
      </w:r>
      <w:r w:rsidR="00D62058" w:rsidRPr="00CB2902">
        <w:rPr>
          <w:rFonts w:asciiTheme="majorHAnsi" w:hAnsiTheme="majorHAnsi"/>
          <w:b/>
          <w:i/>
          <w:sz w:val="24"/>
          <w:szCs w:val="24"/>
        </w:rPr>
        <w:t>6.4.4</w:t>
      </w:r>
      <w:r w:rsidR="00210455" w:rsidRPr="00CB2902">
        <w:rPr>
          <w:rFonts w:asciiTheme="majorHAnsi" w:hAnsiTheme="majorHAnsi"/>
          <w:b/>
          <w:i/>
          <w:sz w:val="24"/>
          <w:szCs w:val="24"/>
        </w:rPr>
        <w:t xml:space="preserve">. </w:t>
      </w:r>
      <w:r w:rsidR="00D62058" w:rsidRPr="00CB2902">
        <w:rPr>
          <w:rFonts w:asciiTheme="majorHAnsi" w:hAnsiTheme="majorHAnsi"/>
          <w:sz w:val="24"/>
          <w:szCs w:val="24"/>
          <w:u w:val="single"/>
        </w:rPr>
        <w:t>Para comprovação da qualificação técnica</w:t>
      </w:r>
      <w:r w:rsidR="00D62058" w:rsidRPr="00CB2902">
        <w:rPr>
          <w:rFonts w:asciiTheme="majorHAnsi" w:hAnsiTheme="majorHAnsi"/>
          <w:sz w:val="24"/>
          <w:szCs w:val="24"/>
        </w:rPr>
        <w:t>:</w:t>
      </w:r>
    </w:p>
    <w:p w:rsidR="00210455" w:rsidRPr="00CB2902" w:rsidRDefault="00210455" w:rsidP="00D460EC">
      <w:pPr>
        <w:spacing w:after="0" w:line="360" w:lineRule="auto"/>
        <w:ind w:firstLine="1134"/>
        <w:jc w:val="both"/>
        <w:rPr>
          <w:rFonts w:asciiTheme="majorHAnsi" w:hAnsiTheme="majorHAnsi"/>
          <w:i/>
          <w:sz w:val="24"/>
          <w:szCs w:val="24"/>
        </w:rPr>
      </w:pPr>
      <w:r w:rsidRPr="00CB2902">
        <w:rPr>
          <w:rFonts w:asciiTheme="majorHAnsi" w:hAnsiTheme="majorHAnsi"/>
          <w:b/>
          <w:i/>
          <w:sz w:val="24"/>
          <w:szCs w:val="24"/>
        </w:rPr>
        <w:t xml:space="preserve"> </w:t>
      </w:r>
      <w:r w:rsidRPr="00CB2902">
        <w:rPr>
          <w:rFonts w:asciiTheme="majorHAnsi" w:hAnsiTheme="majorHAnsi"/>
          <w:i/>
          <w:sz w:val="24"/>
          <w:szCs w:val="24"/>
        </w:rPr>
        <w:t>A pro</w:t>
      </w:r>
      <w:r w:rsidR="00D62058" w:rsidRPr="00CB2902">
        <w:rPr>
          <w:rFonts w:asciiTheme="majorHAnsi" w:hAnsiTheme="majorHAnsi"/>
          <w:i/>
          <w:sz w:val="24"/>
          <w:szCs w:val="24"/>
        </w:rPr>
        <w:t xml:space="preserve">ponente deverá comprovar que </w:t>
      </w:r>
      <w:r w:rsidR="00D62058" w:rsidRPr="00CB2902">
        <w:rPr>
          <w:rFonts w:asciiTheme="majorHAnsi" w:hAnsiTheme="majorHAnsi"/>
          <w:sz w:val="24"/>
          <w:szCs w:val="24"/>
        </w:rPr>
        <w:t>a comprovação da qualificação técnica para a eficiente qualidade dos materiais e da mão de obra</w:t>
      </w:r>
      <w:r w:rsidRPr="00CB2902">
        <w:rPr>
          <w:rFonts w:asciiTheme="majorHAnsi" w:hAnsiTheme="majorHAnsi"/>
          <w:i/>
          <w:sz w:val="24"/>
          <w:szCs w:val="24"/>
        </w:rPr>
        <w:t>.</w:t>
      </w:r>
    </w:p>
    <w:p w:rsidR="00FD4D37" w:rsidRPr="00CB2902" w:rsidRDefault="00210455" w:rsidP="006239EF">
      <w:pPr>
        <w:spacing w:after="0" w:line="360" w:lineRule="auto"/>
        <w:ind w:firstLine="1134"/>
        <w:jc w:val="both"/>
        <w:rPr>
          <w:rFonts w:asciiTheme="majorHAnsi" w:hAnsiTheme="majorHAnsi"/>
          <w:sz w:val="24"/>
          <w:szCs w:val="24"/>
        </w:rPr>
      </w:pPr>
      <w:r w:rsidRPr="00CB2902">
        <w:rPr>
          <w:rFonts w:asciiTheme="majorHAnsi" w:hAnsiTheme="majorHAnsi"/>
          <w:sz w:val="24"/>
          <w:szCs w:val="24"/>
        </w:rPr>
        <w:t>Requer a Impugnante a alteração da referida Cláusula</w:t>
      </w:r>
      <w:r w:rsidR="00FD4D37" w:rsidRPr="00CB2902">
        <w:rPr>
          <w:rFonts w:asciiTheme="majorHAnsi" w:hAnsiTheme="majorHAnsi"/>
          <w:sz w:val="24"/>
          <w:szCs w:val="24"/>
        </w:rPr>
        <w:t xml:space="preserve"> para fins </w:t>
      </w:r>
      <w:r w:rsidRPr="00CB2902">
        <w:rPr>
          <w:rFonts w:asciiTheme="majorHAnsi" w:hAnsiTheme="majorHAnsi"/>
          <w:sz w:val="24"/>
          <w:szCs w:val="24"/>
        </w:rPr>
        <w:t xml:space="preserve">de </w:t>
      </w:r>
      <w:r w:rsidR="00FD4D37" w:rsidRPr="00CB2902">
        <w:rPr>
          <w:rFonts w:asciiTheme="majorHAnsi" w:hAnsiTheme="majorHAnsi"/>
          <w:sz w:val="24"/>
          <w:szCs w:val="24"/>
        </w:rPr>
        <w:t>promover</w:t>
      </w:r>
      <w:r w:rsidRPr="00CB2902">
        <w:rPr>
          <w:rFonts w:asciiTheme="majorHAnsi" w:hAnsiTheme="majorHAnsi"/>
          <w:sz w:val="24"/>
          <w:szCs w:val="24"/>
        </w:rPr>
        <w:t xml:space="preserve"> a competitividade </w:t>
      </w:r>
      <w:r w:rsidR="00FD4D37" w:rsidRPr="00CB2902">
        <w:rPr>
          <w:rFonts w:asciiTheme="majorHAnsi" w:hAnsiTheme="majorHAnsi"/>
          <w:sz w:val="24"/>
          <w:szCs w:val="24"/>
        </w:rPr>
        <w:t>do certame e isonomia entre os concorrentes.</w:t>
      </w:r>
    </w:p>
    <w:p w:rsidR="00FD4D37" w:rsidRPr="00CB2902" w:rsidRDefault="00FD4D37" w:rsidP="006239EF">
      <w:pPr>
        <w:spacing w:after="0" w:line="360" w:lineRule="auto"/>
        <w:ind w:firstLine="1134"/>
        <w:jc w:val="both"/>
        <w:rPr>
          <w:rFonts w:asciiTheme="majorHAnsi" w:hAnsiTheme="majorHAnsi"/>
          <w:sz w:val="24"/>
          <w:szCs w:val="24"/>
        </w:rPr>
      </w:pPr>
      <w:r w:rsidRPr="00CB2902">
        <w:rPr>
          <w:rFonts w:asciiTheme="majorHAnsi" w:hAnsiTheme="majorHAnsi"/>
          <w:sz w:val="24"/>
          <w:szCs w:val="24"/>
        </w:rPr>
        <w:t>Fundamenta a impugnação com o art. 3º, II da Lei 10.520/2002, art. 3º, § 1º, I e art. 30, § 6º da Lei 8.666/93.</w:t>
      </w:r>
    </w:p>
    <w:p w:rsidR="00DA1F63" w:rsidRPr="00CB2902" w:rsidRDefault="00D460EC" w:rsidP="006239EF">
      <w:pPr>
        <w:spacing w:after="0" w:line="360" w:lineRule="auto"/>
        <w:ind w:firstLine="1134"/>
        <w:jc w:val="both"/>
        <w:rPr>
          <w:rFonts w:asciiTheme="majorHAnsi" w:hAnsiTheme="majorHAnsi"/>
          <w:sz w:val="24"/>
          <w:szCs w:val="24"/>
        </w:rPr>
      </w:pPr>
      <w:r w:rsidRPr="00CB2902">
        <w:rPr>
          <w:rFonts w:asciiTheme="majorHAnsi" w:hAnsiTheme="majorHAnsi"/>
          <w:sz w:val="24"/>
          <w:szCs w:val="24"/>
        </w:rPr>
        <w:t>Esse é o breve relato.</w:t>
      </w:r>
    </w:p>
    <w:p w:rsidR="00D460EC" w:rsidRPr="00CB2902" w:rsidRDefault="00D460EC" w:rsidP="006239EF">
      <w:pPr>
        <w:spacing w:after="0" w:line="360" w:lineRule="auto"/>
        <w:ind w:firstLine="1134"/>
        <w:jc w:val="both"/>
        <w:rPr>
          <w:rFonts w:asciiTheme="majorHAnsi" w:hAnsiTheme="majorHAnsi"/>
          <w:sz w:val="24"/>
          <w:szCs w:val="24"/>
        </w:rPr>
      </w:pPr>
      <w:r w:rsidRPr="00CB2902">
        <w:rPr>
          <w:rFonts w:asciiTheme="majorHAnsi" w:hAnsiTheme="majorHAnsi"/>
          <w:sz w:val="24"/>
          <w:szCs w:val="24"/>
        </w:rPr>
        <w:t>P</w:t>
      </w:r>
      <w:r w:rsidR="002A5435" w:rsidRPr="00CB2902">
        <w:rPr>
          <w:rFonts w:asciiTheme="majorHAnsi" w:hAnsiTheme="majorHAnsi"/>
          <w:sz w:val="24"/>
          <w:szCs w:val="24"/>
        </w:rPr>
        <w:t>assa-se a aná</w:t>
      </w:r>
      <w:r w:rsidRPr="00CB2902">
        <w:rPr>
          <w:rFonts w:asciiTheme="majorHAnsi" w:hAnsiTheme="majorHAnsi"/>
          <w:sz w:val="24"/>
          <w:szCs w:val="24"/>
        </w:rPr>
        <w:t>lise d</w:t>
      </w:r>
      <w:r w:rsidR="002A5435" w:rsidRPr="00CB2902">
        <w:rPr>
          <w:rFonts w:asciiTheme="majorHAnsi" w:hAnsiTheme="majorHAnsi"/>
          <w:sz w:val="24"/>
          <w:szCs w:val="24"/>
        </w:rPr>
        <w:t>o mérito</w:t>
      </w:r>
      <w:r w:rsidRPr="00CB2902">
        <w:rPr>
          <w:rFonts w:asciiTheme="majorHAnsi" w:hAnsiTheme="majorHAnsi"/>
          <w:sz w:val="24"/>
          <w:szCs w:val="24"/>
        </w:rPr>
        <w:t>.</w:t>
      </w:r>
    </w:p>
    <w:p w:rsidR="002A5435" w:rsidRPr="00CB2902" w:rsidRDefault="002A5435" w:rsidP="006239EF">
      <w:pPr>
        <w:spacing w:after="0" w:line="360" w:lineRule="auto"/>
        <w:ind w:firstLine="1134"/>
        <w:jc w:val="both"/>
        <w:rPr>
          <w:rFonts w:asciiTheme="majorHAnsi" w:hAnsiTheme="majorHAnsi"/>
          <w:color w:val="FF0000"/>
          <w:sz w:val="24"/>
          <w:szCs w:val="24"/>
        </w:rPr>
      </w:pPr>
    </w:p>
    <w:p w:rsidR="00161C77" w:rsidRPr="00CB2902" w:rsidRDefault="00161C77" w:rsidP="002A5435">
      <w:pPr>
        <w:spacing w:after="0" w:line="360" w:lineRule="auto"/>
        <w:ind w:firstLine="1134"/>
        <w:jc w:val="both"/>
        <w:rPr>
          <w:rFonts w:asciiTheme="majorHAnsi" w:hAnsiTheme="majorHAnsi" w:cs="Times New Roman"/>
          <w:sz w:val="24"/>
          <w:szCs w:val="24"/>
        </w:rPr>
      </w:pPr>
      <w:r w:rsidRPr="00CB2902">
        <w:rPr>
          <w:rFonts w:asciiTheme="majorHAnsi" w:hAnsiTheme="majorHAnsi" w:cs="Arial"/>
          <w:color w:val="202124"/>
          <w:sz w:val="24"/>
          <w:szCs w:val="24"/>
          <w:shd w:val="clear" w:color="auto" w:fill="FFFFFF"/>
        </w:rPr>
        <w:t xml:space="preserve">É dever da Administração, ao realizar procedimentos licitatórios, exigir documentos de habilitação compatíveis com o ramo do objeto licitado, especialmente aqueles que comprovem a </w:t>
      </w:r>
      <w:r w:rsidR="00CB2902" w:rsidRPr="00CB2902">
        <w:rPr>
          <w:rFonts w:asciiTheme="majorHAnsi" w:hAnsiTheme="majorHAnsi"/>
          <w:sz w:val="24"/>
          <w:szCs w:val="24"/>
        </w:rPr>
        <w:t xml:space="preserve">comprovação da qualificação técnica </w:t>
      </w:r>
      <w:r w:rsidRPr="00CB2902">
        <w:rPr>
          <w:rFonts w:asciiTheme="majorHAnsi" w:hAnsiTheme="majorHAnsi" w:cs="Arial"/>
          <w:color w:val="202124"/>
          <w:sz w:val="24"/>
          <w:szCs w:val="24"/>
          <w:shd w:val="clear" w:color="auto" w:fill="FFFFFF"/>
        </w:rPr>
        <w:t>para participar de </w:t>
      </w:r>
      <w:r w:rsidRPr="00CB2902">
        <w:rPr>
          <w:rFonts w:asciiTheme="majorHAnsi" w:hAnsiTheme="majorHAnsi" w:cs="Arial"/>
          <w:bCs/>
          <w:color w:val="202124"/>
          <w:sz w:val="24"/>
          <w:szCs w:val="24"/>
          <w:shd w:val="clear" w:color="auto" w:fill="FFFFFF"/>
        </w:rPr>
        <w:t>licitação</w:t>
      </w:r>
      <w:r w:rsidRPr="00CB2902">
        <w:rPr>
          <w:rFonts w:asciiTheme="majorHAnsi" w:hAnsiTheme="majorHAnsi" w:cs="Arial"/>
          <w:color w:val="202124"/>
          <w:sz w:val="24"/>
          <w:szCs w:val="24"/>
          <w:shd w:val="clear" w:color="auto" w:fill="FFFFFF"/>
        </w:rPr>
        <w:t> na Administração Pública.</w:t>
      </w:r>
    </w:p>
    <w:p w:rsidR="006E1CF4" w:rsidRPr="00CB2902" w:rsidRDefault="006E1CF4" w:rsidP="00370BFC">
      <w:pPr>
        <w:spacing w:after="0" w:line="360" w:lineRule="auto"/>
        <w:ind w:firstLine="1134"/>
        <w:jc w:val="both"/>
        <w:rPr>
          <w:rFonts w:asciiTheme="majorHAnsi" w:hAnsiTheme="majorHAnsi"/>
          <w:sz w:val="24"/>
          <w:szCs w:val="24"/>
        </w:rPr>
      </w:pPr>
      <w:r w:rsidRPr="00CB2902">
        <w:rPr>
          <w:rFonts w:asciiTheme="majorHAnsi" w:hAnsiTheme="majorHAnsi"/>
          <w:sz w:val="24"/>
          <w:szCs w:val="24"/>
        </w:rPr>
        <w:t>Entretanto,</w:t>
      </w:r>
      <w:r w:rsidR="00CB2902" w:rsidRPr="00CB2902">
        <w:rPr>
          <w:rFonts w:asciiTheme="majorHAnsi" w:hAnsiTheme="majorHAnsi"/>
          <w:sz w:val="24"/>
          <w:szCs w:val="24"/>
        </w:rPr>
        <w:t xml:space="preserve"> a exigência do cadastro junta a Celesc </w:t>
      </w:r>
      <w:r w:rsidR="00747734">
        <w:rPr>
          <w:rFonts w:asciiTheme="majorHAnsi" w:hAnsiTheme="majorHAnsi"/>
          <w:sz w:val="24"/>
          <w:szCs w:val="24"/>
        </w:rPr>
        <w:t>no caso em apr</w:t>
      </w:r>
      <w:r w:rsidR="00CB2902" w:rsidRPr="00CB2902">
        <w:rPr>
          <w:rFonts w:asciiTheme="majorHAnsi" w:hAnsiTheme="majorHAnsi"/>
          <w:sz w:val="24"/>
          <w:szCs w:val="24"/>
        </w:rPr>
        <w:t>eço,</w:t>
      </w:r>
      <w:r w:rsidR="00747734">
        <w:rPr>
          <w:rFonts w:asciiTheme="majorHAnsi" w:hAnsiTheme="majorHAnsi"/>
          <w:sz w:val="24"/>
          <w:szCs w:val="24"/>
        </w:rPr>
        <w:t xml:space="preserve"> não se faz tão necessária, poré</w:t>
      </w:r>
      <w:r w:rsidR="00CB2902" w:rsidRPr="00CB2902">
        <w:rPr>
          <w:rFonts w:asciiTheme="majorHAnsi" w:hAnsiTheme="majorHAnsi"/>
          <w:sz w:val="24"/>
          <w:szCs w:val="24"/>
        </w:rPr>
        <w:t xml:space="preserve">m o munícipio </w:t>
      </w:r>
      <w:r w:rsidR="00747734">
        <w:rPr>
          <w:rFonts w:asciiTheme="majorHAnsi" w:hAnsiTheme="majorHAnsi"/>
          <w:sz w:val="24"/>
          <w:szCs w:val="24"/>
        </w:rPr>
        <w:t>deve presar</w:t>
      </w:r>
      <w:r w:rsidR="00CB2902" w:rsidRPr="00CB2902">
        <w:rPr>
          <w:rFonts w:asciiTheme="majorHAnsi" w:hAnsiTheme="majorHAnsi"/>
          <w:sz w:val="24"/>
          <w:szCs w:val="24"/>
        </w:rPr>
        <w:t xml:space="preserve"> pela utiliza</w:t>
      </w:r>
      <w:r w:rsidR="00747734">
        <w:rPr>
          <w:rFonts w:asciiTheme="majorHAnsi" w:hAnsiTheme="majorHAnsi"/>
          <w:sz w:val="24"/>
          <w:szCs w:val="24"/>
        </w:rPr>
        <w:t xml:space="preserve">ção </w:t>
      </w:r>
      <w:r w:rsidR="00CB2902" w:rsidRPr="00CB2902">
        <w:rPr>
          <w:rFonts w:asciiTheme="majorHAnsi" w:hAnsiTheme="majorHAnsi"/>
          <w:sz w:val="24"/>
          <w:szCs w:val="24"/>
        </w:rPr>
        <w:t>de materi</w:t>
      </w:r>
      <w:r w:rsidR="00747734">
        <w:rPr>
          <w:rFonts w:asciiTheme="majorHAnsi" w:hAnsiTheme="majorHAnsi"/>
          <w:sz w:val="24"/>
          <w:szCs w:val="24"/>
        </w:rPr>
        <w:t>ais de primeira qualidade e de m</w:t>
      </w:r>
      <w:r w:rsidR="00CB2902" w:rsidRPr="00CB2902">
        <w:rPr>
          <w:rFonts w:asciiTheme="majorHAnsi" w:hAnsiTheme="majorHAnsi"/>
          <w:sz w:val="24"/>
          <w:szCs w:val="24"/>
        </w:rPr>
        <w:t>ão de obra qualificada.</w:t>
      </w:r>
      <w:r w:rsidR="00370BFC" w:rsidRPr="00CB2902">
        <w:rPr>
          <w:rFonts w:asciiTheme="majorHAnsi" w:hAnsiTheme="majorHAnsi"/>
          <w:sz w:val="24"/>
          <w:szCs w:val="24"/>
        </w:rPr>
        <w:t xml:space="preserve"> Ainda que não se trate de exigência de habilitação e sim de proposta, </w:t>
      </w:r>
      <w:r w:rsidR="00DD3CC2" w:rsidRPr="00CB2902">
        <w:rPr>
          <w:rFonts w:asciiTheme="majorHAnsi" w:hAnsiTheme="majorHAnsi"/>
          <w:sz w:val="24"/>
          <w:szCs w:val="24"/>
        </w:rPr>
        <w:t>sinaliza</w:t>
      </w:r>
      <w:r w:rsidR="00370BFC" w:rsidRPr="00CB2902">
        <w:rPr>
          <w:rFonts w:asciiTheme="majorHAnsi" w:hAnsiTheme="majorHAnsi"/>
          <w:sz w:val="24"/>
          <w:szCs w:val="24"/>
        </w:rPr>
        <w:t xml:space="preserve"> imposição a todos aqueles que queiram participar da licitação, </w:t>
      </w:r>
    </w:p>
    <w:p w:rsidR="006E1CF4" w:rsidRPr="00CB2902" w:rsidRDefault="00370BFC" w:rsidP="00370BFC">
      <w:pPr>
        <w:spacing w:after="0" w:line="360" w:lineRule="auto"/>
        <w:ind w:firstLine="1134"/>
        <w:jc w:val="both"/>
        <w:rPr>
          <w:rFonts w:asciiTheme="majorHAnsi" w:hAnsiTheme="majorHAnsi"/>
          <w:sz w:val="24"/>
          <w:szCs w:val="24"/>
        </w:rPr>
      </w:pPr>
      <w:r w:rsidRPr="00CB2902">
        <w:rPr>
          <w:rFonts w:asciiTheme="majorHAnsi" w:hAnsiTheme="majorHAnsi"/>
          <w:sz w:val="24"/>
          <w:szCs w:val="24"/>
        </w:rPr>
        <w:t>Dessa forma, a exigência é restritiva à a</w:t>
      </w:r>
      <w:r w:rsidR="00747734">
        <w:rPr>
          <w:rFonts w:asciiTheme="majorHAnsi" w:hAnsiTheme="majorHAnsi"/>
          <w:sz w:val="24"/>
          <w:szCs w:val="24"/>
        </w:rPr>
        <w:t>mpla competição, porque nem toda</w:t>
      </w:r>
      <w:r w:rsidRPr="00CB2902">
        <w:rPr>
          <w:rFonts w:asciiTheme="majorHAnsi" w:hAnsiTheme="majorHAnsi"/>
          <w:sz w:val="24"/>
          <w:szCs w:val="24"/>
        </w:rPr>
        <w:t>s</w:t>
      </w:r>
      <w:r w:rsidR="00747734">
        <w:rPr>
          <w:rFonts w:asciiTheme="majorHAnsi" w:hAnsiTheme="majorHAnsi"/>
          <w:sz w:val="24"/>
          <w:szCs w:val="24"/>
        </w:rPr>
        <w:t xml:space="preserve"> as empresas que prestam os </w:t>
      </w:r>
      <w:r w:rsidR="00CB2902" w:rsidRPr="00CB2902">
        <w:rPr>
          <w:rFonts w:asciiTheme="majorHAnsi" w:hAnsiTheme="majorHAnsi"/>
          <w:sz w:val="24"/>
          <w:szCs w:val="24"/>
        </w:rPr>
        <w:t xml:space="preserve">serviços </w:t>
      </w:r>
      <w:r w:rsidR="00747734">
        <w:rPr>
          <w:rFonts w:asciiTheme="majorHAnsi" w:hAnsiTheme="majorHAnsi"/>
          <w:sz w:val="24"/>
          <w:szCs w:val="24"/>
        </w:rPr>
        <w:t>contam com cadastrão junto à</w:t>
      </w:r>
      <w:r w:rsidR="00CB2902" w:rsidRPr="00CB2902">
        <w:rPr>
          <w:rFonts w:asciiTheme="majorHAnsi" w:hAnsiTheme="majorHAnsi"/>
          <w:sz w:val="24"/>
          <w:szCs w:val="24"/>
        </w:rPr>
        <w:t xml:space="preserve"> Celesc,</w:t>
      </w:r>
      <w:r w:rsidR="00747734">
        <w:rPr>
          <w:rFonts w:asciiTheme="majorHAnsi" w:hAnsiTheme="majorHAnsi"/>
          <w:sz w:val="24"/>
          <w:szCs w:val="24"/>
        </w:rPr>
        <w:t xml:space="preserve"> o que contraria</w:t>
      </w:r>
      <w:r w:rsidRPr="00CB2902">
        <w:rPr>
          <w:rFonts w:asciiTheme="majorHAnsi" w:hAnsiTheme="majorHAnsi"/>
          <w:sz w:val="24"/>
          <w:szCs w:val="24"/>
        </w:rPr>
        <w:t xml:space="preserve"> o disposto no art. 37, inciso XXI, da Constituição</w:t>
      </w:r>
      <w:r w:rsidR="006E1CF4" w:rsidRPr="00CB2902">
        <w:rPr>
          <w:rFonts w:asciiTheme="majorHAnsi" w:hAnsiTheme="majorHAnsi"/>
          <w:sz w:val="24"/>
          <w:szCs w:val="24"/>
        </w:rPr>
        <w:t xml:space="preserve"> </w:t>
      </w:r>
      <w:r w:rsidR="00747734">
        <w:rPr>
          <w:rFonts w:asciiTheme="majorHAnsi" w:hAnsiTheme="majorHAnsi"/>
          <w:sz w:val="24"/>
          <w:szCs w:val="24"/>
        </w:rPr>
        <w:t xml:space="preserve">Federal </w:t>
      </w:r>
      <w:r w:rsidRPr="00CB2902">
        <w:rPr>
          <w:rFonts w:asciiTheme="majorHAnsi" w:hAnsiTheme="majorHAnsi"/>
          <w:sz w:val="24"/>
          <w:szCs w:val="24"/>
        </w:rPr>
        <w:t>e,</w:t>
      </w:r>
      <w:r w:rsidR="006E1CF4" w:rsidRPr="00CB2902">
        <w:rPr>
          <w:rFonts w:asciiTheme="majorHAnsi" w:hAnsiTheme="majorHAnsi"/>
          <w:sz w:val="24"/>
          <w:szCs w:val="24"/>
        </w:rPr>
        <w:t xml:space="preserve"> </w:t>
      </w:r>
      <w:r w:rsidRPr="00CB2902">
        <w:rPr>
          <w:rFonts w:asciiTheme="majorHAnsi" w:hAnsiTheme="majorHAnsi"/>
          <w:sz w:val="24"/>
          <w:szCs w:val="24"/>
        </w:rPr>
        <w:t>consequentemente o inciso I, § 1º do art. 3º da Lei nº 8.666/932 e o inciso II do art. 3º da Lei 10.520/023</w:t>
      </w:r>
      <w:r w:rsidR="00DD3CC2" w:rsidRPr="00CB2902">
        <w:rPr>
          <w:rFonts w:asciiTheme="majorHAnsi" w:hAnsiTheme="majorHAnsi"/>
          <w:sz w:val="24"/>
          <w:szCs w:val="24"/>
        </w:rPr>
        <w:t>,</w:t>
      </w:r>
      <w:r w:rsidRPr="00CB2902">
        <w:rPr>
          <w:rFonts w:asciiTheme="majorHAnsi" w:hAnsiTheme="majorHAnsi"/>
          <w:sz w:val="24"/>
          <w:szCs w:val="24"/>
        </w:rPr>
        <w:t xml:space="preserve"> que vedam aos agentes públicos incluir nos atos de convocação cláusulas ou condições que comprometam, restrinjam ou frustrem o caráter competitivo</w:t>
      </w:r>
      <w:r w:rsidR="00747734">
        <w:rPr>
          <w:rFonts w:asciiTheme="majorHAnsi" w:hAnsiTheme="majorHAnsi"/>
          <w:sz w:val="24"/>
          <w:szCs w:val="24"/>
        </w:rPr>
        <w:t xml:space="preserve"> do certame licitatório</w:t>
      </w:r>
      <w:r w:rsidRPr="00CB2902">
        <w:rPr>
          <w:rFonts w:asciiTheme="majorHAnsi" w:hAnsiTheme="majorHAnsi"/>
          <w:sz w:val="24"/>
          <w:szCs w:val="24"/>
        </w:rPr>
        <w:t xml:space="preserve">. </w:t>
      </w:r>
    </w:p>
    <w:p w:rsidR="006E1CF4" w:rsidRPr="00CB2902" w:rsidRDefault="00370BFC" w:rsidP="00370BFC">
      <w:pPr>
        <w:spacing w:after="0" w:line="360" w:lineRule="auto"/>
        <w:ind w:firstLine="1134"/>
        <w:jc w:val="both"/>
        <w:rPr>
          <w:rFonts w:asciiTheme="majorHAnsi" w:hAnsiTheme="majorHAnsi"/>
          <w:sz w:val="24"/>
          <w:szCs w:val="24"/>
        </w:rPr>
      </w:pPr>
      <w:r w:rsidRPr="00CB2902">
        <w:rPr>
          <w:rFonts w:asciiTheme="majorHAnsi" w:hAnsiTheme="majorHAnsi"/>
          <w:sz w:val="24"/>
          <w:szCs w:val="24"/>
        </w:rPr>
        <w:t xml:space="preserve">Nesse sentido, é oportuno transcrever a lição de Marçal Justen Filho: </w:t>
      </w:r>
    </w:p>
    <w:p w:rsidR="00DD3CC2" w:rsidRPr="00CB2902" w:rsidRDefault="00DD3CC2" w:rsidP="00DD3CC2">
      <w:pPr>
        <w:spacing w:after="0" w:line="240" w:lineRule="auto"/>
        <w:ind w:left="2268"/>
        <w:jc w:val="both"/>
        <w:rPr>
          <w:rFonts w:asciiTheme="majorHAnsi" w:hAnsiTheme="majorHAnsi"/>
          <w:sz w:val="24"/>
          <w:szCs w:val="24"/>
        </w:rPr>
      </w:pPr>
    </w:p>
    <w:p w:rsidR="006E1CF4" w:rsidRPr="00CB2902" w:rsidRDefault="00370BFC" w:rsidP="00DD3CC2">
      <w:pPr>
        <w:spacing w:after="0" w:line="240" w:lineRule="auto"/>
        <w:ind w:left="2268"/>
        <w:jc w:val="both"/>
        <w:rPr>
          <w:rFonts w:asciiTheme="majorHAnsi" w:hAnsiTheme="majorHAnsi"/>
          <w:sz w:val="24"/>
          <w:szCs w:val="24"/>
        </w:rPr>
      </w:pPr>
      <w:r w:rsidRPr="00CB2902">
        <w:rPr>
          <w:rFonts w:asciiTheme="majorHAnsi" w:hAnsiTheme="majorHAnsi"/>
          <w:sz w:val="24"/>
          <w:szCs w:val="24"/>
        </w:rPr>
        <w:lastRenderedPageBreak/>
        <w:t>Por outro lado, não se pode ignorar a determinação constitucional de que as exigências deverão ser as mínimas possíveis. Quando a CF/88, no art. 37, inc. XXI, determinou que as exigências seriam as mínimas possíveis, isso significou submissão da Administração a limitação inquestionável. Não cabe à Administração ir além do mínimo necessário à garantia do princípio da República. Logo, não se validam exigências que, ultrapassando o mínimo, se destinam a manter a Administração em situação “confortável”. A CF/88 proibiu essa alternativa. (…) A adoção de condições de participação desvinculadas do objeto contratual pode desembocar na invalidade. São inválidas, primeiramente, as condições não necessárias. Isso se passa naqueles casos de exigências que ultrapassam os requisitos mínimos exigíveis do interessado em formular uma proposta. Caracteriza-se o excesso, provocando a exclusão de pessoas que poderiam executar satisfatoriamente o objeto licitado (…)</w:t>
      </w:r>
      <w:r w:rsidR="006E1CF4" w:rsidRPr="00CB2902">
        <w:rPr>
          <w:rStyle w:val="Refdenotaderodap"/>
          <w:rFonts w:asciiTheme="majorHAnsi" w:hAnsiTheme="majorHAnsi"/>
          <w:sz w:val="24"/>
          <w:szCs w:val="24"/>
        </w:rPr>
        <w:footnoteReference w:id="1"/>
      </w:r>
      <w:r w:rsidRPr="00CB2902">
        <w:rPr>
          <w:rFonts w:asciiTheme="majorHAnsi" w:hAnsiTheme="majorHAnsi"/>
          <w:sz w:val="24"/>
          <w:szCs w:val="24"/>
        </w:rPr>
        <w:t xml:space="preserve"> </w:t>
      </w:r>
    </w:p>
    <w:p w:rsidR="00DD3CC2" w:rsidRPr="00CB2902" w:rsidRDefault="00DD3CC2" w:rsidP="00370BFC">
      <w:pPr>
        <w:spacing w:after="0" w:line="360" w:lineRule="auto"/>
        <w:ind w:firstLine="1134"/>
        <w:jc w:val="both"/>
        <w:rPr>
          <w:rFonts w:asciiTheme="majorHAnsi" w:hAnsiTheme="majorHAnsi"/>
          <w:sz w:val="24"/>
          <w:szCs w:val="24"/>
        </w:rPr>
      </w:pPr>
    </w:p>
    <w:p w:rsidR="003B00D2" w:rsidRDefault="006E1CF4" w:rsidP="00D24772">
      <w:pPr>
        <w:spacing w:after="0" w:line="360" w:lineRule="auto"/>
        <w:ind w:firstLine="1134"/>
        <w:jc w:val="both"/>
        <w:rPr>
          <w:rFonts w:asciiTheme="majorHAnsi" w:hAnsiTheme="majorHAnsi"/>
          <w:sz w:val="24"/>
          <w:szCs w:val="24"/>
        </w:rPr>
      </w:pPr>
      <w:r w:rsidRPr="00CB2902">
        <w:rPr>
          <w:rFonts w:asciiTheme="majorHAnsi" w:hAnsiTheme="majorHAnsi"/>
          <w:sz w:val="24"/>
          <w:szCs w:val="24"/>
        </w:rPr>
        <w:t xml:space="preserve">Por outro lado, a garantia de qualidade dos </w:t>
      </w:r>
      <w:r w:rsidR="00D62058" w:rsidRPr="00CB2902">
        <w:rPr>
          <w:rFonts w:asciiTheme="majorHAnsi" w:hAnsiTheme="majorHAnsi"/>
          <w:sz w:val="24"/>
          <w:szCs w:val="24"/>
        </w:rPr>
        <w:t xml:space="preserve">materiais e serviços </w:t>
      </w:r>
      <w:r w:rsidRPr="00CB2902">
        <w:rPr>
          <w:rFonts w:asciiTheme="majorHAnsi" w:hAnsiTheme="majorHAnsi"/>
          <w:sz w:val="24"/>
          <w:szCs w:val="24"/>
        </w:rPr>
        <w:t xml:space="preserve">pode ser </w:t>
      </w:r>
      <w:r w:rsidR="003B00D2">
        <w:rPr>
          <w:rFonts w:asciiTheme="majorHAnsi" w:hAnsiTheme="majorHAnsi"/>
          <w:sz w:val="24"/>
          <w:szCs w:val="24"/>
        </w:rPr>
        <w:t>obtida, por exemplo, por meio da documentação exigida n</w:t>
      </w:r>
      <w:r w:rsidR="00D62058" w:rsidRPr="00CB2902">
        <w:rPr>
          <w:rFonts w:asciiTheme="majorHAnsi" w:hAnsiTheme="majorHAnsi"/>
          <w:sz w:val="24"/>
          <w:szCs w:val="24"/>
        </w:rPr>
        <w:t>os itens 6.4.2 e 6.4.3</w:t>
      </w:r>
      <w:r w:rsidR="003B00D2">
        <w:rPr>
          <w:rFonts w:asciiTheme="majorHAnsi" w:hAnsiTheme="majorHAnsi"/>
          <w:sz w:val="24"/>
          <w:szCs w:val="24"/>
        </w:rPr>
        <w:t xml:space="preserve"> do Edital que rege a referida licitação:</w:t>
      </w:r>
      <w:r w:rsidR="00D62058" w:rsidRPr="00CB2902">
        <w:rPr>
          <w:rFonts w:asciiTheme="majorHAnsi" w:hAnsiTheme="majorHAnsi"/>
          <w:sz w:val="24"/>
          <w:szCs w:val="24"/>
        </w:rPr>
        <w:t xml:space="preserve"> </w:t>
      </w:r>
    </w:p>
    <w:p w:rsidR="003B00D2" w:rsidRDefault="003B00D2" w:rsidP="003B00D2">
      <w:pPr>
        <w:spacing w:after="0" w:line="240" w:lineRule="auto"/>
        <w:ind w:left="2268"/>
        <w:jc w:val="both"/>
        <w:rPr>
          <w:rFonts w:asciiTheme="majorHAnsi" w:hAnsiTheme="majorHAnsi"/>
          <w:sz w:val="24"/>
          <w:szCs w:val="24"/>
        </w:rPr>
      </w:pPr>
    </w:p>
    <w:p w:rsidR="003B00D2" w:rsidRPr="003B00D2" w:rsidRDefault="003B00D2" w:rsidP="003B00D2">
      <w:pPr>
        <w:spacing w:after="0" w:line="240" w:lineRule="auto"/>
        <w:ind w:left="2268"/>
        <w:jc w:val="both"/>
        <w:rPr>
          <w:rFonts w:asciiTheme="majorHAnsi" w:hAnsiTheme="majorHAnsi"/>
          <w:sz w:val="24"/>
          <w:szCs w:val="24"/>
        </w:rPr>
      </w:pPr>
      <w:r w:rsidRPr="003B00D2">
        <w:rPr>
          <w:rFonts w:asciiTheme="majorHAnsi" w:hAnsiTheme="majorHAnsi"/>
          <w:sz w:val="24"/>
          <w:szCs w:val="24"/>
        </w:rPr>
        <w:t xml:space="preserve">6.4.2 - Comprovação, para fins de demonstração de capacidade operacional, de possuir aptidão para execução dos serviços, mediante a apresentação de atestado/certidão onde conste que a empresa proponente, executou a qualquer tempo, serviços de manutenção e construção de rede de distribuição de energia elétrica. </w:t>
      </w:r>
    </w:p>
    <w:p w:rsidR="003B00D2" w:rsidRDefault="003B00D2" w:rsidP="003B00D2">
      <w:pPr>
        <w:spacing w:after="0" w:line="240" w:lineRule="auto"/>
        <w:ind w:left="2268"/>
        <w:jc w:val="both"/>
        <w:rPr>
          <w:rFonts w:asciiTheme="majorHAnsi" w:hAnsiTheme="majorHAnsi"/>
          <w:sz w:val="24"/>
          <w:szCs w:val="24"/>
        </w:rPr>
      </w:pPr>
      <w:r w:rsidRPr="003B00D2">
        <w:rPr>
          <w:rFonts w:asciiTheme="majorHAnsi" w:hAnsiTheme="majorHAnsi"/>
          <w:sz w:val="24"/>
          <w:szCs w:val="24"/>
        </w:rPr>
        <w:t>6.4.3 - Comprovação, para fins de demonstração de capacitação técnico-profissional, de possuir profissional de nível superior, mediante apresentação de Certidão de Acervo Técnico (CAT) expedido pelo CREA, onde conste que o mesmo executou serviços de manutenção de</w:t>
      </w:r>
      <w:r>
        <w:rPr>
          <w:rFonts w:asciiTheme="majorHAnsi" w:hAnsiTheme="majorHAnsi"/>
          <w:sz w:val="24"/>
          <w:szCs w:val="24"/>
        </w:rPr>
        <w:t xml:space="preserve"> iluminação pública.</w:t>
      </w:r>
    </w:p>
    <w:p w:rsidR="003B00D2" w:rsidRPr="003B00D2" w:rsidRDefault="003B00D2" w:rsidP="003B00D2">
      <w:pPr>
        <w:spacing w:after="0" w:line="240" w:lineRule="auto"/>
        <w:ind w:left="2268"/>
        <w:jc w:val="both"/>
        <w:rPr>
          <w:rFonts w:asciiTheme="majorHAnsi" w:hAnsiTheme="majorHAnsi"/>
          <w:sz w:val="24"/>
          <w:szCs w:val="24"/>
        </w:rPr>
      </w:pPr>
    </w:p>
    <w:p w:rsidR="004478A3" w:rsidRDefault="004478A3" w:rsidP="00D24772">
      <w:pPr>
        <w:spacing w:after="0" w:line="360" w:lineRule="auto"/>
        <w:ind w:firstLine="1134"/>
        <w:jc w:val="both"/>
        <w:rPr>
          <w:rFonts w:asciiTheme="majorHAnsi" w:hAnsiTheme="majorHAnsi"/>
          <w:sz w:val="24"/>
          <w:szCs w:val="24"/>
        </w:rPr>
      </w:pPr>
      <w:r>
        <w:rPr>
          <w:rFonts w:asciiTheme="majorHAnsi" w:hAnsiTheme="majorHAnsi"/>
          <w:sz w:val="24"/>
          <w:szCs w:val="24"/>
        </w:rPr>
        <w:t>Tem-se que a</w:t>
      </w:r>
      <w:r w:rsidR="003B00D2">
        <w:rPr>
          <w:rFonts w:asciiTheme="majorHAnsi" w:hAnsiTheme="majorHAnsi"/>
          <w:sz w:val="24"/>
          <w:szCs w:val="24"/>
        </w:rPr>
        <w:t xml:space="preserve"> capacidade operacional e a demonstração de capacitação técnico-profissional </w:t>
      </w:r>
      <w:r>
        <w:rPr>
          <w:rFonts w:asciiTheme="majorHAnsi" w:hAnsiTheme="majorHAnsi"/>
          <w:sz w:val="24"/>
          <w:szCs w:val="24"/>
        </w:rPr>
        <w:t xml:space="preserve">podem ser </w:t>
      </w:r>
      <w:r w:rsidR="003B00D2">
        <w:rPr>
          <w:rFonts w:asciiTheme="majorHAnsi" w:hAnsiTheme="majorHAnsi"/>
          <w:sz w:val="24"/>
          <w:szCs w:val="24"/>
        </w:rPr>
        <w:t>obtida</w:t>
      </w:r>
      <w:r>
        <w:rPr>
          <w:rFonts w:asciiTheme="majorHAnsi" w:hAnsiTheme="majorHAnsi"/>
          <w:sz w:val="24"/>
          <w:szCs w:val="24"/>
        </w:rPr>
        <w:t>s</w:t>
      </w:r>
      <w:r w:rsidR="003B00D2">
        <w:rPr>
          <w:rFonts w:asciiTheme="majorHAnsi" w:hAnsiTheme="majorHAnsi"/>
          <w:sz w:val="24"/>
          <w:szCs w:val="24"/>
        </w:rPr>
        <w:t xml:space="preserve"> por meio dos documentos exigidos nos itens 6.4.2 e 6.4.3</w:t>
      </w:r>
      <w:r>
        <w:rPr>
          <w:rFonts w:asciiTheme="majorHAnsi" w:hAnsiTheme="majorHAnsi"/>
          <w:sz w:val="24"/>
          <w:szCs w:val="24"/>
        </w:rPr>
        <w:t>, garantindo a qualificação técnica dos proponentes.</w:t>
      </w:r>
    </w:p>
    <w:p w:rsidR="00010BFA" w:rsidRPr="00CB2902" w:rsidRDefault="004478A3" w:rsidP="00D24772">
      <w:pPr>
        <w:spacing w:after="0" w:line="360" w:lineRule="auto"/>
        <w:ind w:firstLine="1134"/>
        <w:jc w:val="both"/>
        <w:rPr>
          <w:rFonts w:asciiTheme="majorHAnsi" w:hAnsiTheme="majorHAnsi"/>
          <w:sz w:val="24"/>
          <w:szCs w:val="24"/>
        </w:rPr>
      </w:pPr>
      <w:r>
        <w:rPr>
          <w:rFonts w:asciiTheme="majorHAnsi" w:hAnsiTheme="majorHAnsi"/>
          <w:sz w:val="24"/>
          <w:szCs w:val="24"/>
        </w:rPr>
        <w:t xml:space="preserve"> </w:t>
      </w:r>
      <w:r w:rsidR="006E1CF4" w:rsidRPr="00CB2902">
        <w:rPr>
          <w:rFonts w:asciiTheme="majorHAnsi" w:hAnsiTheme="majorHAnsi"/>
          <w:sz w:val="24"/>
          <w:szCs w:val="24"/>
        </w:rPr>
        <w:t>Diante do exposto,</w:t>
      </w:r>
      <w:r w:rsidR="00C12202" w:rsidRPr="00CB2902">
        <w:rPr>
          <w:rFonts w:asciiTheme="majorHAnsi" w:hAnsiTheme="majorHAnsi"/>
          <w:sz w:val="24"/>
          <w:szCs w:val="24"/>
        </w:rPr>
        <w:t xml:space="preserve"> OPINA esta Assessoria </w:t>
      </w:r>
      <w:r w:rsidR="00E17537" w:rsidRPr="00CB2902">
        <w:rPr>
          <w:rFonts w:asciiTheme="majorHAnsi" w:hAnsiTheme="majorHAnsi"/>
          <w:sz w:val="24"/>
          <w:szCs w:val="24"/>
        </w:rPr>
        <w:t xml:space="preserve">Jurídica pela PROCEDÊNCIA da impugnação, </w:t>
      </w:r>
      <w:r w:rsidR="006E1CF4" w:rsidRPr="00CB2902">
        <w:rPr>
          <w:rFonts w:asciiTheme="majorHAnsi" w:hAnsiTheme="majorHAnsi"/>
          <w:sz w:val="24"/>
          <w:szCs w:val="24"/>
        </w:rPr>
        <w:t xml:space="preserve">promovendo-se a retificação da peça </w:t>
      </w:r>
      <w:r w:rsidR="00D62058" w:rsidRPr="00CB2902">
        <w:rPr>
          <w:rFonts w:asciiTheme="majorHAnsi" w:hAnsiTheme="majorHAnsi"/>
          <w:sz w:val="24"/>
          <w:szCs w:val="24"/>
        </w:rPr>
        <w:t>editalícias</w:t>
      </w:r>
      <w:r w:rsidR="00DD3CC2" w:rsidRPr="00CB2902">
        <w:rPr>
          <w:rFonts w:asciiTheme="majorHAnsi" w:hAnsiTheme="majorHAnsi"/>
          <w:sz w:val="24"/>
          <w:szCs w:val="24"/>
        </w:rPr>
        <w:t xml:space="preserve"> com a supressão da Cláusula </w:t>
      </w:r>
      <w:r w:rsidR="00D62058" w:rsidRPr="00CB2902">
        <w:rPr>
          <w:rFonts w:asciiTheme="majorHAnsi" w:hAnsiTheme="majorHAnsi"/>
          <w:sz w:val="24"/>
          <w:szCs w:val="24"/>
        </w:rPr>
        <w:t>6.4</w:t>
      </w:r>
    </w:p>
    <w:p w:rsidR="00C73A5F" w:rsidRPr="00CB2902" w:rsidRDefault="00C73A5F" w:rsidP="00D24772">
      <w:pPr>
        <w:spacing w:after="0" w:line="360" w:lineRule="auto"/>
        <w:ind w:firstLine="1134"/>
        <w:jc w:val="both"/>
        <w:rPr>
          <w:rFonts w:asciiTheme="majorHAnsi" w:hAnsiTheme="majorHAnsi"/>
          <w:sz w:val="24"/>
          <w:szCs w:val="24"/>
        </w:rPr>
      </w:pPr>
      <w:bookmarkStart w:id="1" w:name="art57ii.."/>
      <w:bookmarkStart w:id="2" w:name="art57ii."/>
      <w:bookmarkEnd w:id="1"/>
      <w:bookmarkEnd w:id="2"/>
      <w:r w:rsidRPr="00CB2902">
        <w:rPr>
          <w:rFonts w:asciiTheme="majorHAnsi" w:hAnsiTheme="majorHAnsi"/>
          <w:sz w:val="24"/>
          <w:szCs w:val="24"/>
        </w:rPr>
        <w:lastRenderedPageBreak/>
        <w:t xml:space="preserve">Ciência ao </w:t>
      </w:r>
      <w:r w:rsidR="00E17537" w:rsidRPr="00CB2902">
        <w:rPr>
          <w:rFonts w:asciiTheme="majorHAnsi" w:hAnsiTheme="majorHAnsi"/>
          <w:sz w:val="24"/>
          <w:szCs w:val="24"/>
        </w:rPr>
        <w:t xml:space="preserve">Senhor Prefeito Municipal para decisão e posteriormente aos </w:t>
      </w:r>
      <w:r w:rsidRPr="00CB2902">
        <w:rPr>
          <w:rFonts w:asciiTheme="majorHAnsi" w:hAnsiTheme="majorHAnsi"/>
          <w:sz w:val="24"/>
          <w:szCs w:val="24"/>
        </w:rPr>
        <w:t>interessado</w:t>
      </w:r>
      <w:r w:rsidR="00E17537" w:rsidRPr="00CB2902">
        <w:rPr>
          <w:rFonts w:asciiTheme="majorHAnsi" w:hAnsiTheme="majorHAnsi"/>
          <w:sz w:val="24"/>
          <w:szCs w:val="24"/>
        </w:rPr>
        <w:t>s</w:t>
      </w:r>
      <w:r w:rsidRPr="00CB2902">
        <w:rPr>
          <w:rFonts w:asciiTheme="majorHAnsi" w:hAnsiTheme="majorHAnsi"/>
          <w:sz w:val="24"/>
          <w:szCs w:val="24"/>
        </w:rPr>
        <w:t>.</w:t>
      </w:r>
    </w:p>
    <w:p w:rsidR="00C73A5F" w:rsidRPr="00CB2902" w:rsidRDefault="00C73A5F" w:rsidP="00D24772">
      <w:pPr>
        <w:spacing w:after="0" w:line="360" w:lineRule="auto"/>
        <w:ind w:firstLine="1134"/>
        <w:jc w:val="both"/>
        <w:rPr>
          <w:rFonts w:asciiTheme="majorHAnsi" w:hAnsiTheme="majorHAnsi"/>
          <w:sz w:val="24"/>
          <w:szCs w:val="24"/>
        </w:rPr>
      </w:pPr>
      <w:r w:rsidRPr="00CB2902">
        <w:rPr>
          <w:rFonts w:asciiTheme="majorHAnsi" w:hAnsiTheme="majorHAnsi"/>
          <w:sz w:val="24"/>
          <w:szCs w:val="24"/>
        </w:rPr>
        <w:t>Belmonte/</w:t>
      </w:r>
      <w:r w:rsidR="007A42F8" w:rsidRPr="00CB2902">
        <w:rPr>
          <w:rFonts w:asciiTheme="majorHAnsi" w:hAnsiTheme="majorHAnsi"/>
          <w:sz w:val="24"/>
          <w:szCs w:val="24"/>
        </w:rPr>
        <w:t xml:space="preserve">SC, </w:t>
      </w:r>
      <w:r w:rsidR="00D62058" w:rsidRPr="00CB2902">
        <w:rPr>
          <w:rFonts w:asciiTheme="majorHAnsi" w:hAnsiTheme="majorHAnsi"/>
          <w:sz w:val="24"/>
          <w:szCs w:val="24"/>
        </w:rPr>
        <w:t>15</w:t>
      </w:r>
      <w:r w:rsidR="004F5CA3" w:rsidRPr="00CB2902">
        <w:rPr>
          <w:rFonts w:asciiTheme="majorHAnsi" w:hAnsiTheme="majorHAnsi"/>
          <w:sz w:val="24"/>
          <w:szCs w:val="24"/>
        </w:rPr>
        <w:t xml:space="preserve"> </w:t>
      </w:r>
      <w:r w:rsidR="0097275F" w:rsidRPr="00CB2902">
        <w:rPr>
          <w:rFonts w:asciiTheme="majorHAnsi" w:hAnsiTheme="majorHAnsi"/>
          <w:sz w:val="24"/>
          <w:szCs w:val="24"/>
        </w:rPr>
        <w:t xml:space="preserve">de </w:t>
      </w:r>
      <w:r w:rsidR="00D62058" w:rsidRPr="00CB2902">
        <w:rPr>
          <w:rFonts w:asciiTheme="majorHAnsi" w:hAnsiTheme="majorHAnsi"/>
          <w:sz w:val="24"/>
          <w:szCs w:val="24"/>
        </w:rPr>
        <w:t>dezembro</w:t>
      </w:r>
      <w:r w:rsidR="00E17537" w:rsidRPr="00CB2902">
        <w:rPr>
          <w:rFonts w:asciiTheme="majorHAnsi" w:hAnsiTheme="majorHAnsi"/>
          <w:sz w:val="24"/>
          <w:szCs w:val="24"/>
        </w:rPr>
        <w:t xml:space="preserve"> de 2022</w:t>
      </w:r>
      <w:r w:rsidRPr="00CB2902">
        <w:rPr>
          <w:rFonts w:asciiTheme="majorHAnsi" w:hAnsiTheme="majorHAnsi"/>
          <w:sz w:val="24"/>
          <w:szCs w:val="24"/>
        </w:rPr>
        <w:t>.</w:t>
      </w:r>
    </w:p>
    <w:p w:rsidR="00132B53" w:rsidRPr="00CB2902" w:rsidRDefault="00132B53" w:rsidP="00D24772">
      <w:pPr>
        <w:spacing w:after="0" w:line="360" w:lineRule="auto"/>
        <w:ind w:firstLine="1134"/>
        <w:jc w:val="both"/>
        <w:rPr>
          <w:rFonts w:asciiTheme="majorHAnsi" w:hAnsiTheme="majorHAnsi"/>
          <w:sz w:val="24"/>
          <w:szCs w:val="24"/>
        </w:rPr>
      </w:pPr>
    </w:p>
    <w:p w:rsidR="00C73A5F" w:rsidRPr="00CB2902" w:rsidRDefault="00C73A5F" w:rsidP="00D24772">
      <w:pPr>
        <w:spacing w:after="0" w:line="360" w:lineRule="auto"/>
        <w:ind w:firstLine="1134"/>
        <w:jc w:val="both"/>
        <w:rPr>
          <w:rFonts w:asciiTheme="majorHAnsi" w:hAnsiTheme="majorHAnsi"/>
          <w:sz w:val="24"/>
          <w:szCs w:val="24"/>
        </w:rPr>
      </w:pPr>
    </w:p>
    <w:p w:rsidR="00C73A5F" w:rsidRPr="00CB2902" w:rsidRDefault="00C73A5F" w:rsidP="00D24772">
      <w:pPr>
        <w:spacing w:after="0" w:line="360" w:lineRule="auto"/>
        <w:ind w:firstLine="1134"/>
        <w:jc w:val="both"/>
        <w:rPr>
          <w:rFonts w:asciiTheme="majorHAnsi" w:hAnsiTheme="majorHAnsi"/>
          <w:b/>
          <w:sz w:val="24"/>
          <w:szCs w:val="24"/>
        </w:rPr>
      </w:pPr>
      <w:r w:rsidRPr="00CB2902">
        <w:rPr>
          <w:rFonts w:asciiTheme="majorHAnsi" w:hAnsiTheme="majorHAnsi"/>
          <w:b/>
          <w:sz w:val="24"/>
          <w:szCs w:val="24"/>
        </w:rPr>
        <w:t>TEREZINHA DE FATIMA PEREIRA KLEIN</w:t>
      </w:r>
    </w:p>
    <w:p w:rsidR="00C73A5F" w:rsidRPr="00CB2902" w:rsidRDefault="00C73A5F" w:rsidP="00D24772">
      <w:pPr>
        <w:spacing w:after="0" w:line="360" w:lineRule="auto"/>
        <w:ind w:firstLine="1134"/>
        <w:jc w:val="both"/>
        <w:rPr>
          <w:rFonts w:asciiTheme="majorHAnsi" w:hAnsiTheme="majorHAnsi"/>
          <w:b/>
          <w:sz w:val="24"/>
          <w:szCs w:val="24"/>
        </w:rPr>
      </w:pPr>
      <w:r w:rsidRPr="00CB2902">
        <w:rPr>
          <w:rFonts w:asciiTheme="majorHAnsi" w:hAnsiTheme="majorHAnsi"/>
          <w:b/>
          <w:sz w:val="24"/>
          <w:szCs w:val="24"/>
        </w:rPr>
        <w:t>OAB/SC 36.087</w:t>
      </w:r>
    </w:p>
    <w:sectPr w:rsidR="00C73A5F" w:rsidRPr="00CB2902" w:rsidSect="00DD3CC2">
      <w:headerReference w:type="even" r:id="rId9"/>
      <w:headerReference w:type="default" r:id="rId10"/>
      <w:footerReference w:type="even" r:id="rId11"/>
      <w:footerReference w:type="default" r:id="rId12"/>
      <w:headerReference w:type="first" r:id="rId13"/>
      <w:footerReference w:type="first" r:id="rId14"/>
      <w:pgSz w:w="11906" w:h="16838"/>
      <w:pgMar w:top="2552"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11" w:rsidRDefault="00674011" w:rsidP="00D30C13">
      <w:pPr>
        <w:spacing w:after="0" w:line="240" w:lineRule="auto"/>
      </w:pPr>
      <w:r>
        <w:separator/>
      </w:r>
    </w:p>
  </w:endnote>
  <w:endnote w:type="continuationSeparator" w:id="0">
    <w:p w:rsidR="00674011" w:rsidRDefault="00674011" w:rsidP="00D3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13" w:rsidRDefault="00D30C1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01231"/>
      <w:docPartObj>
        <w:docPartGallery w:val="Page Numbers (Bottom of Page)"/>
        <w:docPartUnique/>
      </w:docPartObj>
    </w:sdtPr>
    <w:sdtEndPr/>
    <w:sdtContent>
      <w:p w:rsidR="00D30C13" w:rsidRDefault="00D30C13">
        <w:pPr>
          <w:pStyle w:val="Rodap"/>
          <w:jc w:val="right"/>
        </w:pPr>
        <w:r>
          <w:fldChar w:fldCharType="begin"/>
        </w:r>
        <w:r>
          <w:instrText>PAGE   \* MERGEFORMAT</w:instrText>
        </w:r>
        <w:r>
          <w:fldChar w:fldCharType="separate"/>
        </w:r>
        <w:r w:rsidR="008A7CC8">
          <w:rPr>
            <w:noProof/>
          </w:rPr>
          <w:t>4</w:t>
        </w:r>
        <w:r>
          <w:fldChar w:fldCharType="end"/>
        </w:r>
      </w:p>
    </w:sdtContent>
  </w:sdt>
  <w:p w:rsidR="00D30C13" w:rsidRDefault="00D30C1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13" w:rsidRDefault="00D30C1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11" w:rsidRDefault="00674011" w:rsidP="00D30C13">
      <w:pPr>
        <w:spacing w:after="0" w:line="240" w:lineRule="auto"/>
      </w:pPr>
      <w:r>
        <w:separator/>
      </w:r>
    </w:p>
  </w:footnote>
  <w:footnote w:type="continuationSeparator" w:id="0">
    <w:p w:rsidR="00674011" w:rsidRDefault="00674011" w:rsidP="00D30C13">
      <w:pPr>
        <w:spacing w:after="0" w:line="240" w:lineRule="auto"/>
      </w:pPr>
      <w:r>
        <w:continuationSeparator/>
      </w:r>
    </w:p>
  </w:footnote>
  <w:footnote w:id="1">
    <w:p w:rsidR="006E1CF4" w:rsidRDefault="006E1CF4">
      <w:pPr>
        <w:pStyle w:val="Textodenotaderodap"/>
      </w:pPr>
      <w:r>
        <w:rPr>
          <w:rStyle w:val="Refdenotaderodap"/>
        </w:rPr>
        <w:footnoteRef/>
      </w:r>
      <w:r>
        <w:t xml:space="preserve"> JUSTEN FILHO, Marçal. Comentários à Lei de Licitações e Contratos Administrativos, 12ª ed., São Paulo: Dialética, 2008, pp. 380-381.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13" w:rsidRDefault="00D30C1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13" w:rsidRDefault="00D30C1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13" w:rsidRDefault="00D30C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5441"/>
    <w:multiLevelType w:val="multilevel"/>
    <w:tmpl w:val="2F5A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77"/>
    <w:rsid w:val="00006A0A"/>
    <w:rsid w:val="00010BFA"/>
    <w:rsid w:val="00035F65"/>
    <w:rsid w:val="00041B26"/>
    <w:rsid w:val="00073540"/>
    <w:rsid w:val="0009008E"/>
    <w:rsid w:val="00091D9E"/>
    <w:rsid w:val="000A6ECB"/>
    <w:rsid w:val="000B5A0D"/>
    <w:rsid w:val="000C4312"/>
    <w:rsid w:val="000F79CD"/>
    <w:rsid w:val="001050CE"/>
    <w:rsid w:val="00106B71"/>
    <w:rsid w:val="00123229"/>
    <w:rsid w:val="00132B53"/>
    <w:rsid w:val="00156D9D"/>
    <w:rsid w:val="00161C77"/>
    <w:rsid w:val="001643B8"/>
    <w:rsid w:val="00183475"/>
    <w:rsid w:val="001A2BB4"/>
    <w:rsid w:val="001E1864"/>
    <w:rsid w:val="001F1500"/>
    <w:rsid w:val="002066D5"/>
    <w:rsid w:val="00210455"/>
    <w:rsid w:val="00217E6E"/>
    <w:rsid w:val="00226B0A"/>
    <w:rsid w:val="002441D6"/>
    <w:rsid w:val="002600AB"/>
    <w:rsid w:val="002613D5"/>
    <w:rsid w:val="00264761"/>
    <w:rsid w:val="00267934"/>
    <w:rsid w:val="00273BDC"/>
    <w:rsid w:val="00274125"/>
    <w:rsid w:val="00277E95"/>
    <w:rsid w:val="00291FAC"/>
    <w:rsid w:val="002A5435"/>
    <w:rsid w:val="002D1BEE"/>
    <w:rsid w:val="002E37C6"/>
    <w:rsid w:val="002E5EFD"/>
    <w:rsid w:val="0035454E"/>
    <w:rsid w:val="00370BFC"/>
    <w:rsid w:val="00374F4D"/>
    <w:rsid w:val="00394653"/>
    <w:rsid w:val="00397F00"/>
    <w:rsid w:val="003B00D2"/>
    <w:rsid w:val="003D145A"/>
    <w:rsid w:val="003D7A0C"/>
    <w:rsid w:val="00400CDB"/>
    <w:rsid w:val="00401FA4"/>
    <w:rsid w:val="00404FD0"/>
    <w:rsid w:val="00421DCE"/>
    <w:rsid w:val="00440936"/>
    <w:rsid w:val="00444038"/>
    <w:rsid w:val="004478A3"/>
    <w:rsid w:val="00476D0A"/>
    <w:rsid w:val="0048523C"/>
    <w:rsid w:val="004922DB"/>
    <w:rsid w:val="00494E87"/>
    <w:rsid w:val="004A0B82"/>
    <w:rsid w:val="004A4660"/>
    <w:rsid w:val="004B2524"/>
    <w:rsid w:val="004D4382"/>
    <w:rsid w:val="004F3216"/>
    <w:rsid w:val="004F38AC"/>
    <w:rsid w:val="004F5CA3"/>
    <w:rsid w:val="0053454E"/>
    <w:rsid w:val="0053576B"/>
    <w:rsid w:val="00537214"/>
    <w:rsid w:val="00547517"/>
    <w:rsid w:val="00560D82"/>
    <w:rsid w:val="00575FBC"/>
    <w:rsid w:val="005B42B9"/>
    <w:rsid w:val="005D0CDC"/>
    <w:rsid w:val="005E77FE"/>
    <w:rsid w:val="005F03B0"/>
    <w:rsid w:val="00603889"/>
    <w:rsid w:val="006043FB"/>
    <w:rsid w:val="0061575D"/>
    <w:rsid w:val="00620397"/>
    <w:rsid w:val="006239EF"/>
    <w:rsid w:val="0063295A"/>
    <w:rsid w:val="00674011"/>
    <w:rsid w:val="006A074B"/>
    <w:rsid w:val="006E1CF4"/>
    <w:rsid w:val="006F7082"/>
    <w:rsid w:val="00705480"/>
    <w:rsid w:val="00705E7E"/>
    <w:rsid w:val="0070739A"/>
    <w:rsid w:val="00737C97"/>
    <w:rsid w:val="007438A0"/>
    <w:rsid w:val="00747734"/>
    <w:rsid w:val="00765020"/>
    <w:rsid w:val="00784927"/>
    <w:rsid w:val="007A42F8"/>
    <w:rsid w:val="007B0D7B"/>
    <w:rsid w:val="007D4F64"/>
    <w:rsid w:val="007F3873"/>
    <w:rsid w:val="00800FDF"/>
    <w:rsid w:val="00806EA1"/>
    <w:rsid w:val="0082390A"/>
    <w:rsid w:val="008371EF"/>
    <w:rsid w:val="008510E3"/>
    <w:rsid w:val="0086623A"/>
    <w:rsid w:val="008805F0"/>
    <w:rsid w:val="008855AC"/>
    <w:rsid w:val="008945B0"/>
    <w:rsid w:val="008A0E7D"/>
    <w:rsid w:val="008A7CC8"/>
    <w:rsid w:val="008C6F7F"/>
    <w:rsid w:val="008F6C90"/>
    <w:rsid w:val="00900D8B"/>
    <w:rsid w:val="0090534A"/>
    <w:rsid w:val="0091165C"/>
    <w:rsid w:val="00913B6D"/>
    <w:rsid w:val="00923468"/>
    <w:rsid w:val="00927E38"/>
    <w:rsid w:val="0097275F"/>
    <w:rsid w:val="009E6662"/>
    <w:rsid w:val="009F3BAB"/>
    <w:rsid w:val="009F41C9"/>
    <w:rsid w:val="009F7F14"/>
    <w:rsid w:val="00A02C68"/>
    <w:rsid w:val="00A154FA"/>
    <w:rsid w:val="00A35BAF"/>
    <w:rsid w:val="00A55995"/>
    <w:rsid w:val="00A62283"/>
    <w:rsid w:val="00AC4CDE"/>
    <w:rsid w:val="00AD0CA7"/>
    <w:rsid w:val="00B373A3"/>
    <w:rsid w:val="00B41D7F"/>
    <w:rsid w:val="00B44558"/>
    <w:rsid w:val="00B6161D"/>
    <w:rsid w:val="00B833A6"/>
    <w:rsid w:val="00B90EF8"/>
    <w:rsid w:val="00B9150B"/>
    <w:rsid w:val="00BA2C73"/>
    <w:rsid w:val="00BB3006"/>
    <w:rsid w:val="00BB5AAE"/>
    <w:rsid w:val="00BE034F"/>
    <w:rsid w:val="00C0627D"/>
    <w:rsid w:val="00C12202"/>
    <w:rsid w:val="00C12C73"/>
    <w:rsid w:val="00C40195"/>
    <w:rsid w:val="00C510E6"/>
    <w:rsid w:val="00C520CC"/>
    <w:rsid w:val="00C60E8F"/>
    <w:rsid w:val="00C73A5F"/>
    <w:rsid w:val="00C7413B"/>
    <w:rsid w:val="00C86883"/>
    <w:rsid w:val="00C90734"/>
    <w:rsid w:val="00CB1767"/>
    <w:rsid w:val="00CB2902"/>
    <w:rsid w:val="00CB39F3"/>
    <w:rsid w:val="00CB591A"/>
    <w:rsid w:val="00CF40FC"/>
    <w:rsid w:val="00D032A7"/>
    <w:rsid w:val="00D05EF3"/>
    <w:rsid w:val="00D13CA7"/>
    <w:rsid w:val="00D24772"/>
    <w:rsid w:val="00D30C13"/>
    <w:rsid w:val="00D460EC"/>
    <w:rsid w:val="00D55A5A"/>
    <w:rsid w:val="00D56910"/>
    <w:rsid w:val="00D62058"/>
    <w:rsid w:val="00D66179"/>
    <w:rsid w:val="00D7259A"/>
    <w:rsid w:val="00D841C2"/>
    <w:rsid w:val="00D916DE"/>
    <w:rsid w:val="00D96500"/>
    <w:rsid w:val="00DA1F63"/>
    <w:rsid w:val="00DA6E77"/>
    <w:rsid w:val="00DB05EF"/>
    <w:rsid w:val="00DB7706"/>
    <w:rsid w:val="00DD3A7A"/>
    <w:rsid w:val="00DD3CC2"/>
    <w:rsid w:val="00DF5E29"/>
    <w:rsid w:val="00E17537"/>
    <w:rsid w:val="00E2331F"/>
    <w:rsid w:val="00E574F5"/>
    <w:rsid w:val="00E611DB"/>
    <w:rsid w:val="00E64A82"/>
    <w:rsid w:val="00E874DC"/>
    <w:rsid w:val="00E94475"/>
    <w:rsid w:val="00EA0A91"/>
    <w:rsid w:val="00EB539A"/>
    <w:rsid w:val="00EB5410"/>
    <w:rsid w:val="00ED36F7"/>
    <w:rsid w:val="00EF71D3"/>
    <w:rsid w:val="00F1030C"/>
    <w:rsid w:val="00F24A76"/>
    <w:rsid w:val="00F3793D"/>
    <w:rsid w:val="00F46768"/>
    <w:rsid w:val="00FA0A06"/>
    <w:rsid w:val="00FA5A5B"/>
    <w:rsid w:val="00FD01FB"/>
    <w:rsid w:val="00FD4D37"/>
    <w:rsid w:val="00FF5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643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96500"/>
    <w:rPr>
      <w:color w:val="0000FF"/>
      <w:u w:val="single"/>
    </w:rPr>
  </w:style>
  <w:style w:type="character" w:styleId="nfase">
    <w:name w:val="Emphasis"/>
    <w:basedOn w:val="Fontepargpadro"/>
    <w:uiPriority w:val="20"/>
    <w:qFormat/>
    <w:rsid w:val="002E5EFD"/>
    <w:rPr>
      <w:i/>
      <w:iCs/>
    </w:rPr>
  </w:style>
  <w:style w:type="table" w:styleId="Tabelacomgrade">
    <w:name w:val="Table Grid"/>
    <w:basedOn w:val="Tabelanormal"/>
    <w:uiPriority w:val="59"/>
    <w:rsid w:val="005F0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247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4772"/>
    <w:rPr>
      <w:rFonts w:ascii="Segoe UI" w:hAnsi="Segoe UI" w:cs="Segoe UI"/>
      <w:sz w:val="18"/>
      <w:szCs w:val="18"/>
    </w:rPr>
  </w:style>
  <w:style w:type="paragraph" w:styleId="AssinaturadeEmail">
    <w:name w:val="E-mail Signature"/>
    <w:basedOn w:val="Normal"/>
    <w:link w:val="AssinaturadeEmailChar"/>
    <w:uiPriority w:val="99"/>
    <w:semiHidden/>
    <w:unhideWhenUsed/>
    <w:rsid w:val="00274125"/>
    <w:pPr>
      <w:spacing w:after="0" w:line="240" w:lineRule="auto"/>
    </w:pPr>
    <w:rPr>
      <w:rFonts w:ascii="Times New Roman" w:hAnsi="Times New Roman" w:cs="Times New Roman"/>
      <w:sz w:val="24"/>
      <w:szCs w:val="24"/>
      <w:lang w:eastAsia="pt-BR"/>
    </w:rPr>
  </w:style>
  <w:style w:type="character" w:customStyle="1" w:styleId="AssinaturadeEmailChar">
    <w:name w:val="Assinatura de Email Char"/>
    <w:basedOn w:val="Fontepargpadro"/>
    <w:link w:val="AssinaturadeEmail"/>
    <w:uiPriority w:val="99"/>
    <w:semiHidden/>
    <w:rsid w:val="00274125"/>
    <w:rPr>
      <w:rFonts w:ascii="Times New Roman" w:hAnsi="Times New Roman" w:cs="Times New Roman"/>
      <w:sz w:val="24"/>
      <w:szCs w:val="24"/>
      <w:lang w:eastAsia="pt-BR"/>
    </w:rPr>
  </w:style>
  <w:style w:type="paragraph" w:styleId="Cabealho">
    <w:name w:val="header"/>
    <w:basedOn w:val="Normal"/>
    <w:link w:val="CabealhoChar"/>
    <w:uiPriority w:val="99"/>
    <w:unhideWhenUsed/>
    <w:rsid w:val="00D30C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13"/>
  </w:style>
  <w:style w:type="paragraph" w:styleId="Rodap">
    <w:name w:val="footer"/>
    <w:basedOn w:val="Normal"/>
    <w:link w:val="RodapChar"/>
    <w:uiPriority w:val="99"/>
    <w:unhideWhenUsed/>
    <w:rsid w:val="00D30C13"/>
    <w:pPr>
      <w:tabs>
        <w:tab w:val="center" w:pos="4252"/>
        <w:tab w:val="right" w:pos="8504"/>
      </w:tabs>
      <w:spacing w:after="0" w:line="240" w:lineRule="auto"/>
    </w:pPr>
  </w:style>
  <w:style w:type="character" w:customStyle="1" w:styleId="RodapChar">
    <w:name w:val="Rodapé Char"/>
    <w:basedOn w:val="Fontepargpadro"/>
    <w:link w:val="Rodap"/>
    <w:uiPriority w:val="99"/>
    <w:rsid w:val="00D30C13"/>
  </w:style>
  <w:style w:type="character" w:styleId="Forte">
    <w:name w:val="Strong"/>
    <w:basedOn w:val="Fontepargpadro"/>
    <w:uiPriority w:val="22"/>
    <w:qFormat/>
    <w:rsid w:val="00161C77"/>
    <w:rPr>
      <w:b/>
      <w:bCs/>
    </w:rPr>
  </w:style>
  <w:style w:type="paragraph" w:styleId="Textodenotaderodap">
    <w:name w:val="footnote text"/>
    <w:basedOn w:val="Normal"/>
    <w:link w:val="TextodenotaderodapChar"/>
    <w:uiPriority w:val="99"/>
    <w:semiHidden/>
    <w:unhideWhenUsed/>
    <w:rsid w:val="006E1C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1CF4"/>
    <w:rPr>
      <w:sz w:val="20"/>
      <w:szCs w:val="20"/>
    </w:rPr>
  </w:style>
  <w:style w:type="character" w:styleId="Refdenotaderodap">
    <w:name w:val="footnote reference"/>
    <w:basedOn w:val="Fontepargpadro"/>
    <w:uiPriority w:val="99"/>
    <w:semiHidden/>
    <w:unhideWhenUsed/>
    <w:rsid w:val="006E1CF4"/>
    <w:rPr>
      <w:vertAlign w:val="superscript"/>
    </w:rPr>
  </w:style>
  <w:style w:type="paragraph" w:customStyle="1" w:styleId="Default">
    <w:name w:val="Default"/>
    <w:rsid w:val="00D620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643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96500"/>
    <w:rPr>
      <w:color w:val="0000FF"/>
      <w:u w:val="single"/>
    </w:rPr>
  </w:style>
  <w:style w:type="character" w:styleId="nfase">
    <w:name w:val="Emphasis"/>
    <w:basedOn w:val="Fontepargpadro"/>
    <w:uiPriority w:val="20"/>
    <w:qFormat/>
    <w:rsid w:val="002E5EFD"/>
    <w:rPr>
      <w:i/>
      <w:iCs/>
    </w:rPr>
  </w:style>
  <w:style w:type="table" w:styleId="Tabelacomgrade">
    <w:name w:val="Table Grid"/>
    <w:basedOn w:val="Tabelanormal"/>
    <w:uiPriority w:val="59"/>
    <w:rsid w:val="005F0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247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4772"/>
    <w:rPr>
      <w:rFonts w:ascii="Segoe UI" w:hAnsi="Segoe UI" w:cs="Segoe UI"/>
      <w:sz w:val="18"/>
      <w:szCs w:val="18"/>
    </w:rPr>
  </w:style>
  <w:style w:type="paragraph" w:styleId="AssinaturadeEmail">
    <w:name w:val="E-mail Signature"/>
    <w:basedOn w:val="Normal"/>
    <w:link w:val="AssinaturadeEmailChar"/>
    <w:uiPriority w:val="99"/>
    <w:semiHidden/>
    <w:unhideWhenUsed/>
    <w:rsid w:val="00274125"/>
    <w:pPr>
      <w:spacing w:after="0" w:line="240" w:lineRule="auto"/>
    </w:pPr>
    <w:rPr>
      <w:rFonts w:ascii="Times New Roman" w:hAnsi="Times New Roman" w:cs="Times New Roman"/>
      <w:sz w:val="24"/>
      <w:szCs w:val="24"/>
      <w:lang w:eastAsia="pt-BR"/>
    </w:rPr>
  </w:style>
  <w:style w:type="character" w:customStyle="1" w:styleId="AssinaturadeEmailChar">
    <w:name w:val="Assinatura de Email Char"/>
    <w:basedOn w:val="Fontepargpadro"/>
    <w:link w:val="AssinaturadeEmail"/>
    <w:uiPriority w:val="99"/>
    <w:semiHidden/>
    <w:rsid w:val="00274125"/>
    <w:rPr>
      <w:rFonts w:ascii="Times New Roman" w:hAnsi="Times New Roman" w:cs="Times New Roman"/>
      <w:sz w:val="24"/>
      <w:szCs w:val="24"/>
      <w:lang w:eastAsia="pt-BR"/>
    </w:rPr>
  </w:style>
  <w:style w:type="paragraph" w:styleId="Cabealho">
    <w:name w:val="header"/>
    <w:basedOn w:val="Normal"/>
    <w:link w:val="CabealhoChar"/>
    <w:uiPriority w:val="99"/>
    <w:unhideWhenUsed/>
    <w:rsid w:val="00D30C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C13"/>
  </w:style>
  <w:style w:type="paragraph" w:styleId="Rodap">
    <w:name w:val="footer"/>
    <w:basedOn w:val="Normal"/>
    <w:link w:val="RodapChar"/>
    <w:uiPriority w:val="99"/>
    <w:unhideWhenUsed/>
    <w:rsid w:val="00D30C13"/>
    <w:pPr>
      <w:tabs>
        <w:tab w:val="center" w:pos="4252"/>
        <w:tab w:val="right" w:pos="8504"/>
      </w:tabs>
      <w:spacing w:after="0" w:line="240" w:lineRule="auto"/>
    </w:pPr>
  </w:style>
  <w:style w:type="character" w:customStyle="1" w:styleId="RodapChar">
    <w:name w:val="Rodapé Char"/>
    <w:basedOn w:val="Fontepargpadro"/>
    <w:link w:val="Rodap"/>
    <w:uiPriority w:val="99"/>
    <w:rsid w:val="00D30C13"/>
  </w:style>
  <w:style w:type="character" w:styleId="Forte">
    <w:name w:val="Strong"/>
    <w:basedOn w:val="Fontepargpadro"/>
    <w:uiPriority w:val="22"/>
    <w:qFormat/>
    <w:rsid w:val="00161C77"/>
    <w:rPr>
      <w:b/>
      <w:bCs/>
    </w:rPr>
  </w:style>
  <w:style w:type="paragraph" w:styleId="Textodenotaderodap">
    <w:name w:val="footnote text"/>
    <w:basedOn w:val="Normal"/>
    <w:link w:val="TextodenotaderodapChar"/>
    <w:uiPriority w:val="99"/>
    <w:semiHidden/>
    <w:unhideWhenUsed/>
    <w:rsid w:val="006E1C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1CF4"/>
    <w:rPr>
      <w:sz w:val="20"/>
      <w:szCs w:val="20"/>
    </w:rPr>
  </w:style>
  <w:style w:type="character" w:styleId="Refdenotaderodap">
    <w:name w:val="footnote reference"/>
    <w:basedOn w:val="Fontepargpadro"/>
    <w:uiPriority w:val="99"/>
    <w:semiHidden/>
    <w:unhideWhenUsed/>
    <w:rsid w:val="006E1CF4"/>
    <w:rPr>
      <w:vertAlign w:val="superscript"/>
    </w:rPr>
  </w:style>
  <w:style w:type="paragraph" w:customStyle="1" w:styleId="Default">
    <w:name w:val="Default"/>
    <w:rsid w:val="00D620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2499">
      <w:bodyDiv w:val="1"/>
      <w:marLeft w:val="0"/>
      <w:marRight w:val="0"/>
      <w:marTop w:val="0"/>
      <w:marBottom w:val="0"/>
      <w:divBdr>
        <w:top w:val="none" w:sz="0" w:space="0" w:color="auto"/>
        <w:left w:val="none" w:sz="0" w:space="0" w:color="auto"/>
        <w:bottom w:val="none" w:sz="0" w:space="0" w:color="auto"/>
        <w:right w:val="none" w:sz="0" w:space="0" w:color="auto"/>
      </w:divBdr>
    </w:div>
    <w:div w:id="348063447">
      <w:bodyDiv w:val="1"/>
      <w:marLeft w:val="0"/>
      <w:marRight w:val="0"/>
      <w:marTop w:val="0"/>
      <w:marBottom w:val="0"/>
      <w:divBdr>
        <w:top w:val="none" w:sz="0" w:space="0" w:color="auto"/>
        <w:left w:val="none" w:sz="0" w:space="0" w:color="auto"/>
        <w:bottom w:val="none" w:sz="0" w:space="0" w:color="auto"/>
        <w:right w:val="none" w:sz="0" w:space="0" w:color="auto"/>
      </w:divBdr>
    </w:div>
    <w:div w:id="505097232">
      <w:bodyDiv w:val="1"/>
      <w:marLeft w:val="0"/>
      <w:marRight w:val="0"/>
      <w:marTop w:val="0"/>
      <w:marBottom w:val="0"/>
      <w:divBdr>
        <w:top w:val="none" w:sz="0" w:space="0" w:color="auto"/>
        <w:left w:val="none" w:sz="0" w:space="0" w:color="auto"/>
        <w:bottom w:val="none" w:sz="0" w:space="0" w:color="auto"/>
        <w:right w:val="none" w:sz="0" w:space="0" w:color="auto"/>
      </w:divBdr>
    </w:div>
    <w:div w:id="583951722">
      <w:bodyDiv w:val="1"/>
      <w:marLeft w:val="0"/>
      <w:marRight w:val="0"/>
      <w:marTop w:val="0"/>
      <w:marBottom w:val="0"/>
      <w:divBdr>
        <w:top w:val="none" w:sz="0" w:space="0" w:color="auto"/>
        <w:left w:val="none" w:sz="0" w:space="0" w:color="auto"/>
        <w:bottom w:val="none" w:sz="0" w:space="0" w:color="auto"/>
        <w:right w:val="none" w:sz="0" w:space="0" w:color="auto"/>
      </w:divBdr>
    </w:div>
    <w:div w:id="617103791">
      <w:bodyDiv w:val="1"/>
      <w:marLeft w:val="0"/>
      <w:marRight w:val="0"/>
      <w:marTop w:val="0"/>
      <w:marBottom w:val="0"/>
      <w:divBdr>
        <w:top w:val="none" w:sz="0" w:space="0" w:color="auto"/>
        <w:left w:val="none" w:sz="0" w:space="0" w:color="auto"/>
        <w:bottom w:val="none" w:sz="0" w:space="0" w:color="auto"/>
        <w:right w:val="none" w:sz="0" w:space="0" w:color="auto"/>
      </w:divBdr>
    </w:div>
    <w:div w:id="779883777">
      <w:bodyDiv w:val="1"/>
      <w:marLeft w:val="0"/>
      <w:marRight w:val="0"/>
      <w:marTop w:val="0"/>
      <w:marBottom w:val="0"/>
      <w:divBdr>
        <w:top w:val="none" w:sz="0" w:space="0" w:color="auto"/>
        <w:left w:val="none" w:sz="0" w:space="0" w:color="auto"/>
        <w:bottom w:val="none" w:sz="0" w:space="0" w:color="auto"/>
        <w:right w:val="none" w:sz="0" w:space="0" w:color="auto"/>
      </w:divBdr>
    </w:div>
    <w:div w:id="928662396">
      <w:bodyDiv w:val="1"/>
      <w:marLeft w:val="0"/>
      <w:marRight w:val="0"/>
      <w:marTop w:val="0"/>
      <w:marBottom w:val="0"/>
      <w:divBdr>
        <w:top w:val="none" w:sz="0" w:space="0" w:color="auto"/>
        <w:left w:val="none" w:sz="0" w:space="0" w:color="auto"/>
        <w:bottom w:val="none" w:sz="0" w:space="0" w:color="auto"/>
        <w:right w:val="none" w:sz="0" w:space="0" w:color="auto"/>
      </w:divBdr>
    </w:div>
    <w:div w:id="985007716">
      <w:bodyDiv w:val="1"/>
      <w:marLeft w:val="0"/>
      <w:marRight w:val="0"/>
      <w:marTop w:val="0"/>
      <w:marBottom w:val="0"/>
      <w:divBdr>
        <w:top w:val="none" w:sz="0" w:space="0" w:color="auto"/>
        <w:left w:val="none" w:sz="0" w:space="0" w:color="auto"/>
        <w:bottom w:val="none" w:sz="0" w:space="0" w:color="auto"/>
        <w:right w:val="none" w:sz="0" w:space="0" w:color="auto"/>
      </w:divBdr>
    </w:div>
    <w:div w:id="1017345951">
      <w:bodyDiv w:val="1"/>
      <w:marLeft w:val="0"/>
      <w:marRight w:val="0"/>
      <w:marTop w:val="0"/>
      <w:marBottom w:val="0"/>
      <w:divBdr>
        <w:top w:val="none" w:sz="0" w:space="0" w:color="auto"/>
        <w:left w:val="none" w:sz="0" w:space="0" w:color="auto"/>
        <w:bottom w:val="none" w:sz="0" w:space="0" w:color="auto"/>
        <w:right w:val="none" w:sz="0" w:space="0" w:color="auto"/>
      </w:divBdr>
    </w:div>
    <w:div w:id="1130324131">
      <w:bodyDiv w:val="1"/>
      <w:marLeft w:val="0"/>
      <w:marRight w:val="0"/>
      <w:marTop w:val="0"/>
      <w:marBottom w:val="0"/>
      <w:divBdr>
        <w:top w:val="none" w:sz="0" w:space="0" w:color="auto"/>
        <w:left w:val="none" w:sz="0" w:space="0" w:color="auto"/>
        <w:bottom w:val="none" w:sz="0" w:space="0" w:color="auto"/>
        <w:right w:val="none" w:sz="0" w:space="0" w:color="auto"/>
      </w:divBdr>
      <w:divsChild>
        <w:div w:id="1365322865">
          <w:marLeft w:val="0"/>
          <w:marRight w:val="0"/>
          <w:marTop w:val="0"/>
          <w:marBottom w:val="180"/>
          <w:divBdr>
            <w:top w:val="none" w:sz="0" w:space="0" w:color="auto"/>
            <w:left w:val="none" w:sz="0" w:space="0" w:color="auto"/>
            <w:bottom w:val="none" w:sz="0" w:space="0" w:color="auto"/>
            <w:right w:val="none" w:sz="0" w:space="0" w:color="auto"/>
          </w:divBdr>
        </w:div>
        <w:div w:id="1178693034">
          <w:marLeft w:val="0"/>
          <w:marRight w:val="0"/>
          <w:marTop w:val="0"/>
          <w:marBottom w:val="0"/>
          <w:divBdr>
            <w:top w:val="none" w:sz="0" w:space="0" w:color="auto"/>
            <w:left w:val="none" w:sz="0" w:space="0" w:color="auto"/>
            <w:bottom w:val="none" w:sz="0" w:space="0" w:color="auto"/>
            <w:right w:val="none" w:sz="0" w:space="0" w:color="auto"/>
          </w:divBdr>
        </w:div>
      </w:divsChild>
    </w:div>
    <w:div w:id="1140028578">
      <w:bodyDiv w:val="1"/>
      <w:marLeft w:val="0"/>
      <w:marRight w:val="0"/>
      <w:marTop w:val="0"/>
      <w:marBottom w:val="0"/>
      <w:divBdr>
        <w:top w:val="none" w:sz="0" w:space="0" w:color="auto"/>
        <w:left w:val="none" w:sz="0" w:space="0" w:color="auto"/>
        <w:bottom w:val="none" w:sz="0" w:space="0" w:color="auto"/>
        <w:right w:val="none" w:sz="0" w:space="0" w:color="auto"/>
      </w:divBdr>
    </w:div>
    <w:div w:id="1293631000">
      <w:bodyDiv w:val="1"/>
      <w:marLeft w:val="0"/>
      <w:marRight w:val="0"/>
      <w:marTop w:val="0"/>
      <w:marBottom w:val="0"/>
      <w:divBdr>
        <w:top w:val="none" w:sz="0" w:space="0" w:color="auto"/>
        <w:left w:val="none" w:sz="0" w:space="0" w:color="auto"/>
        <w:bottom w:val="none" w:sz="0" w:space="0" w:color="auto"/>
        <w:right w:val="none" w:sz="0" w:space="0" w:color="auto"/>
      </w:divBdr>
    </w:div>
    <w:div w:id="1296793427">
      <w:bodyDiv w:val="1"/>
      <w:marLeft w:val="0"/>
      <w:marRight w:val="0"/>
      <w:marTop w:val="0"/>
      <w:marBottom w:val="0"/>
      <w:divBdr>
        <w:top w:val="none" w:sz="0" w:space="0" w:color="auto"/>
        <w:left w:val="none" w:sz="0" w:space="0" w:color="auto"/>
        <w:bottom w:val="none" w:sz="0" w:space="0" w:color="auto"/>
        <w:right w:val="none" w:sz="0" w:space="0" w:color="auto"/>
      </w:divBdr>
    </w:div>
    <w:div w:id="1346517447">
      <w:bodyDiv w:val="1"/>
      <w:marLeft w:val="0"/>
      <w:marRight w:val="0"/>
      <w:marTop w:val="0"/>
      <w:marBottom w:val="0"/>
      <w:divBdr>
        <w:top w:val="none" w:sz="0" w:space="0" w:color="auto"/>
        <w:left w:val="none" w:sz="0" w:space="0" w:color="auto"/>
        <w:bottom w:val="none" w:sz="0" w:space="0" w:color="auto"/>
        <w:right w:val="none" w:sz="0" w:space="0" w:color="auto"/>
      </w:divBdr>
    </w:div>
    <w:div w:id="1554734206">
      <w:bodyDiv w:val="1"/>
      <w:marLeft w:val="0"/>
      <w:marRight w:val="0"/>
      <w:marTop w:val="0"/>
      <w:marBottom w:val="0"/>
      <w:divBdr>
        <w:top w:val="none" w:sz="0" w:space="0" w:color="auto"/>
        <w:left w:val="none" w:sz="0" w:space="0" w:color="auto"/>
        <w:bottom w:val="none" w:sz="0" w:space="0" w:color="auto"/>
        <w:right w:val="none" w:sz="0" w:space="0" w:color="auto"/>
      </w:divBdr>
    </w:div>
    <w:div w:id="1716005475">
      <w:bodyDiv w:val="1"/>
      <w:marLeft w:val="0"/>
      <w:marRight w:val="0"/>
      <w:marTop w:val="0"/>
      <w:marBottom w:val="0"/>
      <w:divBdr>
        <w:top w:val="none" w:sz="0" w:space="0" w:color="auto"/>
        <w:left w:val="none" w:sz="0" w:space="0" w:color="auto"/>
        <w:bottom w:val="none" w:sz="0" w:space="0" w:color="auto"/>
        <w:right w:val="none" w:sz="0" w:space="0" w:color="auto"/>
      </w:divBdr>
    </w:div>
    <w:div w:id="1725173239">
      <w:bodyDiv w:val="1"/>
      <w:marLeft w:val="0"/>
      <w:marRight w:val="0"/>
      <w:marTop w:val="0"/>
      <w:marBottom w:val="0"/>
      <w:divBdr>
        <w:top w:val="none" w:sz="0" w:space="0" w:color="auto"/>
        <w:left w:val="none" w:sz="0" w:space="0" w:color="auto"/>
        <w:bottom w:val="none" w:sz="0" w:space="0" w:color="auto"/>
        <w:right w:val="none" w:sz="0" w:space="0" w:color="auto"/>
      </w:divBdr>
    </w:div>
    <w:div w:id="1824353696">
      <w:bodyDiv w:val="1"/>
      <w:marLeft w:val="0"/>
      <w:marRight w:val="0"/>
      <w:marTop w:val="0"/>
      <w:marBottom w:val="0"/>
      <w:divBdr>
        <w:top w:val="none" w:sz="0" w:space="0" w:color="auto"/>
        <w:left w:val="none" w:sz="0" w:space="0" w:color="auto"/>
        <w:bottom w:val="none" w:sz="0" w:space="0" w:color="auto"/>
        <w:right w:val="none" w:sz="0" w:space="0" w:color="auto"/>
      </w:divBdr>
    </w:div>
    <w:div w:id="1931889980">
      <w:bodyDiv w:val="1"/>
      <w:marLeft w:val="0"/>
      <w:marRight w:val="0"/>
      <w:marTop w:val="0"/>
      <w:marBottom w:val="0"/>
      <w:divBdr>
        <w:top w:val="none" w:sz="0" w:space="0" w:color="auto"/>
        <w:left w:val="none" w:sz="0" w:space="0" w:color="auto"/>
        <w:bottom w:val="none" w:sz="0" w:space="0" w:color="auto"/>
        <w:right w:val="none" w:sz="0" w:space="0" w:color="auto"/>
      </w:divBdr>
    </w:div>
    <w:div w:id="19653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AF67-4D5D-4589-9957-057A5C86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giovanaklein@hotmail.com</dc:creator>
  <cp:lastModifiedBy>Usuário do Windows</cp:lastModifiedBy>
  <cp:revision>2</cp:revision>
  <cp:lastPrinted>2022-01-10T17:24:00Z</cp:lastPrinted>
  <dcterms:created xsi:type="dcterms:W3CDTF">2022-12-15T18:59:00Z</dcterms:created>
  <dcterms:modified xsi:type="dcterms:W3CDTF">2022-12-15T18:59:00Z</dcterms:modified>
</cp:coreProperties>
</file>